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12D" w:rsidRDefault="0098712D" w:rsidP="0098712D">
      <w:pPr>
        <w:spacing w:after="120"/>
        <w:jc w:val="right"/>
        <w:rPr>
          <w:rFonts w:ascii="Times New Roman" w:hAnsi="Times New Roman" w:cs="Times New Roman"/>
          <w:sz w:val="24"/>
          <w:szCs w:val="24"/>
        </w:rPr>
      </w:pPr>
    </w:p>
    <w:p w:rsidR="0098712D" w:rsidRDefault="0098712D" w:rsidP="0098712D">
      <w:pPr>
        <w:spacing w:after="0"/>
        <w:jc w:val="right"/>
        <w:rPr>
          <w:rFonts w:ascii="Times New Roman" w:hAnsi="Times New Roman" w:cs="Times New Roman"/>
          <w:sz w:val="24"/>
          <w:szCs w:val="24"/>
        </w:rPr>
      </w:pPr>
    </w:p>
    <w:p w:rsidR="0098712D" w:rsidRDefault="0098712D" w:rsidP="0098712D">
      <w:pPr>
        <w:spacing w:after="0"/>
        <w:jc w:val="right"/>
        <w:rPr>
          <w:rFonts w:ascii="Times New Roman" w:hAnsi="Times New Roman" w:cs="Times New Roman"/>
          <w:sz w:val="24"/>
          <w:szCs w:val="24"/>
        </w:rPr>
      </w:pPr>
    </w:p>
    <w:p w:rsidR="0098712D" w:rsidRDefault="0098712D" w:rsidP="0098712D">
      <w:pPr>
        <w:spacing w:after="0"/>
        <w:jc w:val="right"/>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Αθήνα, 27 Απριλίου 2016</w:t>
      </w:r>
    </w:p>
    <w:p w:rsidR="0098712D" w:rsidRDefault="0098712D" w:rsidP="0098712D">
      <w:pPr>
        <w:spacing w:after="0"/>
        <w:jc w:val="right"/>
        <w:rPr>
          <w:rFonts w:ascii="Times New Roman" w:hAnsi="Times New Roman" w:cs="Times New Roman"/>
          <w:sz w:val="20"/>
          <w:szCs w:val="20"/>
        </w:rPr>
      </w:pPr>
      <w:proofErr w:type="spellStart"/>
      <w:r>
        <w:rPr>
          <w:rFonts w:ascii="Times New Roman" w:hAnsi="Times New Roman" w:cs="Times New Roman"/>
          <w:sz w:val="20"/>
          <w:szCs w:val="20"/>
        </w:rPr>
        <w:t>Α.Π.Εξ</w:t>
      </w:r>
      <w:proofErr w:type="spellEnd"/>
      <w:r>
        <w:rPr>
          <w:rFonts w:ascii="Times New Roman" w:hAnsi="Times New Roman" w:cs="Times New Roman"/>
          <w:sz w:val="20"/>
          <w:szCs w:val="20"/>
        </w:rPr>
        <w:t>. 5/27-04-2016</w:t>
      </w:r>
    </w:p>
    <w:p w:rsidR="0098712D" w:rsidRDefault="0098712D" w:rsidP="0098712D">
      <w:pPr>
        <w:spacing w:after="120"/>
        <w:rPr>
          <w:rFonts w:ascii="Times New Roman" w:hAnsi="Times New Roman" w:cs="Times New Roman"/>
          <w:b/>
          <w:sz w:val="24"/>
          <w:szCs w:val="24"/>
        </w:rPr>
      </w:pPr>
    </w:p>
    <w:p w:rsidR="0098712D" w:rsidRDefault="0098712D" w:rsidP="0098712D">
      <w:pPr>
        <w:spacing w:after="120"/>
        <w:rPr>
          <w:rFonts w:ascii="Times New Roman" w:hAnsi="Times New Roman" w:cs="Times New Roman"/>
          <w:b/>
          <w:sz w:val="24"/>
          <w:szCs w:val="24"/>
        </w:rPr>
      </w:pPr>
      <w:r>
        <w:rPr>
          <w:rFonts w:ascii="Times New Roman" w:hAnsi="Times New Roman" w:cs="Times New Roman"/>
          <w:b/>
          <w:sz w:val="24"/>
          <w:szCs w:val="24"/>
        </w:rPr>
        <w:t>Προς: Υπουργό Παιδείας, Έρευνας και Θρησκευμάτων, κ. Νίκο Φίλη</w:t>
      </w:r>
    </w:p>
    <w:p w:rsidR="0098712D" w:rsidRDefault="0098712D" w:rsidP="0098712D">
      <w:pPr>
        <w:rPr>
          <w:rFonts w:ascii="Times New Roman" w:hAnsi="Times New Roman" w:cs="Times New Roman"/>
          <w:b/>
          <w:sz w:val="24"/>
          <w:szCs w:val="24"/>
        </w:rPr>
      </w:pPr>
    </w:p>
    <w:p w:rsidR="0098712D" w:rsidRDefault="0098712D" w:rsidP="0098712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Θέμα: Ανεξάρτητη ποσόστωση για την εισαγωγή στην Τριτοβάθμια εκπαίδευση των μαθητών του νομού Λευκάδας που συμμετέχουν στις Πανελλήνιες Εξετάσεις του 2016 με το νέο σύστημα </w:t>
      </w:r>
    </w:p>
    <w:p w:rsidR="0098712D" w:rsidRDefault="0098712D" w:rsidP="0098712D">
      <w:pPr>
        <w:jc w:val="both"/>
        <w:rPr>
          <w:rFonts w:ascii="Times New Roman" w:hAnsi="Times New Roman" w:cs="Times New Roman"/>
          <w:i/>
          <w:sz w:val="24"/>
          <w:szCs w:val="24"/>
        </w:rPr>
      </w:pPr>
    </w:p>
    <w:p w:rsidR="0098712D" w:rsidRDefault="0098712D" w:rsidP="0098712D">
      <w:pPr>
        <w:jc w:val="both"/>
        <w:rPr>
          <w:rStyle w:val="a5"/>
          <w:iCs w:val="0"/>
        </w:rPr>
      </w:pPr>
      <w:r>
        <w:rPr>
          <w:rFonts w:ascii="Times New Roman" w:hAnsi="Times New Roman" w:cs="Times New Roman"/>
          <w:i/>
          <w:sz w:val="24"/>
          <w:szCs w:val="24"/>
        </w:rPr>
        <w:t>Αξιότιμε κ. Υπουργέ,</w:t>
      </w:r>
    </w:p>
    <w:p w:rsidR="0098712D" w:rsidRDefault="0098712D" w:rsidP="0098712D">
      <w:pPr>
        <w:ind w:firstLine="720"/>
        <w:jc w:val="both"/>
      </w:pPr>
      <w:r>
        <w:rPr>
          <w:rStyle w:val="a5"/>
          <w:sz w:val="24"/>
          <w:szCs w:val="24"/>
        </w:rPr>
        <w:t xml:space="preserve">Με την παράγραφο 4 του άρθρου 51 του ν. 4369/2016 (ΦΕΚ 33/Α/27-02-2016), συγκεκριμένη τροπολογία στο νομοσχέδιο του Υπουργείου σας «Ρυθμίσεις για την έρευνα και άλλες διατάξεις» και σχετική Υπουργική σας Απόφαση που πρόκειται να εκδοθεί, ρυθμίζονται τα θέματα για την εισαγωγή στην τριτοβάθμια εκπαίδευση των αποφοίτων των Γενικών και Επαγγελματικών Λυκείων των Διευθύνσεων Δευτεροβάθμιας Εκπαίδευσης της σεισμόπληκτης περιοχής, όπως αυτή προέκυψε από το σεισμό της 17ης Νοεμβρίου 2015 στη Λευκάδα, </w:t>
      </w:r>
      <w:r>
        <w:rPr>
          <w:rFonts w:ascii="Times New Roman" w:hAnsi="Times New Roman" w:cs="Times New Roman"/>
          <w:sz w:val="24"/>
          <w:szCs w:val="24"/>
        </w:rPr>
        <w:t>αλλά και των αποφοίτων παλαιότερων ετών, που θα δώσουν και φέτος πανελλήνιες εξετάσεις είτε με το νέο είτε με το παλαιό σύστημα.</w:t>
      </w:r>
    </w:p>
    <w:p w:rsidR="0098712D" w:rsidRDefault="0098712D" w:rsidP="0098712D">
      <w:pPr>
        <w:ind w:firstLine="720"/>
        <w:jc w:val="both"/>
        <w:rPr>
          <w:rStyle w:val="a5"/>
          <w:i w:val="0"/>
        </w:rPr>
      </w:pPr>
      <w:r>
        <w:rPr>
          <w:rStyle w:val="a5"/>
          <w:sz w:val="24"/>
          <w:szCs w:val="24"/>
        </w:rPr>
        <w:t xml:space="preserve">Λόγω των ιδιαιτέρων συνθηκών που αντιμετώπισαν οι μαθητές εξαιτίας του σεισμού, με τις ανωτέρω ρυθμίσεις που προωθείτε, εγκρίνονται επιπλέον θέσεις στις πανελλήνιες εξετάσεις για τους υποψηφίους από τη σεισμόπληκτη περιοχή, που </w:t>
      </w:r>
      <w:r>
        <w:rPr>
          <w:rFonts w:ascii="Times New Roman" w:hAnsi="Times New Roman" w:cs="Times New Roman"/>
          <w:sz w:val="24"/>
          <w:szCs w:val="24"/>
        </w:rPr>
        <w:t>οριοθετήθηκε σαφώς με τ</w:t>
      </w:r>
      <w:r>
        <w:rPr>
          <w:rStyle w:val="a5"/>
          <w:rFonts w:ascii="Times New Roman" w:hAnsi="Times New Roman" w:cs="Times New Roman"/>
          <w:sz w:val="24"/>
          <w:szCs w:val="24"/>
        </w:rPr>
        <w:t>η σχετική ΚΥΑ των Υπουργών Οικονομίας, Ανάπτυξης και Τουρισμού, Οικονομικών και Υποδομών, Μεταφορών και Δικτύων (ΦΕΚ 417/Β/22-2-2016).</w:t>
      </w:r>
    </w:p>
    <w:p w:rsidR="0098712D" w:rsidRDefault="0098712D" w:rsidP="0098712D">
      <w:pPr>
        <w:ind w:firstLine="720"/>
        <w:jc w:val="both"/>
        <w:rPr>
          <w:rStyle w:val="a5"/>
          <w:i w:val="0"/>
          <w:sz w:val="24"/>
          <w:szCs w:val="24"/>
        </w:rPr>
      </w:pPr>
      <w:r>
        <w:rPr>
          <w:rStyle w:val="a5"/>
          <w:sz w:val="24"/>
          <w:szCs w:val="24"/>
        </w:rPr>
        <w:t>Ωστόσο, σύμφωνα με τα επίσημα στοιχεία της Διεύθυνσης Αποκατάστασης Επιπτώσεων Φυσικών Καταστροφών (Δ.Α.Ε.Φ.Κ.) και όπως προκύπτει από τους συνημμένους πίνακες, οι ζημιές στη Λευκάδα ήταν πολύ μεγαλύτερες από ότι στις άλλες περιοχές που επίσης κηρύχθηκαν σεισμόπληκτες. Χαρακτηριστικά αναφέρεται ότι κατόπιν επιτόπιων ελέγχων των τεχνικών υπηρεσιών διαπιστώθηκε ότι από τα 873 κτίρια σε όλες τις σεισμόπληκτες περιοχές, τα 696 αφορούν στο νομό Λευκάδας, δηλαδή το 80% του συνόλου. Από αυτά, τα 492 είναι ακατάλληλα προς κατοίκηση, συγκεκριμένα 439 χαρακτηρίστηκαν «κίτρινα» και 53 «κόκκινα».  (βλ. σχετικά Γραφήματα παρακάτω).</w:t>
      </w:r>
      <w:bookmarkStart w:id="0" w:name="_GoBack"/>
      <w:bookmarkEnd w:id="0"/>
    </w:p>
    <w:p w:rsidR="0098712D" w:rsidRDefault="0098712D" w:rsidP="0098712D">
      <w:pPr>
        <w:ind w:firstLine="720"/>
        <w:jc w:val="both"/>
        <w:rPr>
          <w:rStyle w:val="a5"/>
          <w:i w:val="0"/>
          <w:sz w:val="24"/>
          <w:szCs w:val="24"/>
        </w:rPr>
      </w:pPr>
      <w:r>
        <w:rPr>
          <w:rStyle w:val="a5"/>
          <w:sz w:val="24"/>
          <w:szCs w:val="24"/>
        </w:rPr>
        <w:t xml:space="preserve">Αξιοσημείωτο είναι επίσης ότι, λόγω του σεισμού, τα σχολεία στη νότια Λευκάδα έμειναν κλειστά για σχεδόν τρεις εβδομάδες λόγω ακαταλληλότητας και </w:t>
      </w:r>
      <w:r>
        <w:rPr>
          <w:rStyle w:val="a5"/>
          <w:sz w:val="24"/>
          <w:szCs w:val="24"/>
        </w:rPr>
        <w:lastRenderedPageBreak/>
        <w:t xml:space="preserve">επικινδυνότητας των υποδομών και των εντονότατων μετασεισμικών δονήσεων και όχι για προληπτικούς λόγους για 1 ή 2 ημέρες, όπως συνέβη σε άλλες περιοχές. Ακόμη, η έντονη μετασεισμική δραστηριότητα που συνεχίζεται μέχρι και σήμερα δημιουργεί ουσιαστικά προβλήματα για την ομαλή συνέχιση της εκπαιδευτικής διαδικασίας και την απρόσκοπτη προετοιμασία των μαθητών της Λευκάδας για τις Πανελλήνιες Εξετάσεις. </w:t>
      </w:r>
    </w:p>
    <w:p w:rsidR="0098712D" w:rsidRDefault="0098712D" w:rsidP="0098712D">
      <w:pPr>
        <w:ind w:firstLine="720"/>
        <w:jc w:val="both"/>
        <w:rPr>
          <w:rStyle w:val="a5"/>
          <w:i w:val="0"/>
          <w:sz w:val="24"/>
          <w:szCs w:val="24"/>
        </w:rPr>
      </w:pPr>
      <w:r>
        <w:rPr>
          <w:rStyle w:val="a5"/>
          <w:sz w:val="24"/>
          <w:szCs w:val="24"/>
        </w:rPr>
        <w:t>Ωστόσο, η προωθούμενη Υπουργική σας Απόφαση για τον καθορισμό των λεπτομερειών της ρύθμισης και η σχετική τροπολογία που ενσωματώνεται στο νομοσχέδιο του Υπουργείου σας «Ρυθμίσεις για την έρευνα και άλλες διατάξεις», δεν θα πρέπει να αδικούν κανέναν και οφείλουν να λαμβάνουν υπ’ όψιν τους την ιδιαιτέρως προβληματική κατάσταση που προκλήθηκε κυρίως στους μαθητές του νομού Λευκάδας. Σημειώνεται μάλιστα ότι οι εξεταζόμενοι από το νομό Λευκάδας αποτελούν περίπου το 50% των συνολικά εξεταζομένων από την κηρυχθείσα ως σεισμόπληκτη περιοχή (βλ. παρακάτω πίνακα).</w:t>
      </w:r>
    </w:p>
    <w:p w:rsidR="0098712D" w:rsidRDefault="0098712D" w:rsidP="0098712D">
      <w:pPr>
        <w:ind w:firstLine="720"/>
        <w:jc w:val="both"/>
        <w:rPr>
          <w:rStyle w:val="a5"/>
          <w:i w:val="0"/>
          <w:sz w:val="24"/>
          <w:szCs w:val="24"/>
        </w:rPr>
      </w:pPr>
      <w:r>
        <w:rPr>
          <w:rStyle w:val="a5"/>
          <w:sz w:val="24"/>
          <w:szCs w:val="24"/>
        </w:rPr>
        <w:t>Υπογραμμίζεται ότι σύμφωνα με το άρθρο 36 του νόμου 4327/2015 (ΦΕΚ 50/Α/14-05-2015), ειδικά για τους σεισμόπληκτους της Κεφαλονιάς που επλήγησαν από το σεισμό του 2014, προβλέφτηκαν για τους υποψηφίους των Πανελληνίων Εξετάσεων του 2015, θέσεις σε τρεις κατηγορίες καθ’ υπέρβαση του αριθμού εισακτέων. Για το λόγο αυτό, και κατόπιν αιτημάτων μαθητών, γονέων και φορέων της Λευκάδας, αναφορικά με την εφαρμογή της ποσόστωσης του 0,5% στους φετινούς εξεταζομένους των Πανελληνίων Εξετάσεων, αιτούμαι:</w:t>
      </w:r>
    </w:p>
    <w:p w:rsidR="0098712D" w:rsidRDefault="0098712D" w:rsidP="0098712D">
      <w:pPr>
        <w:jc w:val="both"/>
        <w:rPr>
          <w:rStyle w:val="a5"/>
          <w:i w:val="0"/>
          <w:sz w:val="24"/>
          <w:szCs w:val="24"/>
        </w:rPr>
      </w:pPr>
      <w:r>
        <w:rPr>
          <w:rStyle w:val="a5"/>
          <w:sz w:val="24"/>
          <w:szCs w:val="24"/>
        </w:rPr>
        <w:t xml:space="preserve">Α. Για τους τελειόφοιτους και αποφοίτους των Γενικών Λυκείων και των ΕΠΑ.Λ. του νομού Λευκάδας που δίνουν με το νέο σύστημα να ισχύσει ανεξάρτητα η ποσόστωση του 0,5% καθ’ υπέρβαση του αριθμού εισακτέων (κατηγορία Α). Η κατηγορία αφορά 221 εξεταζομένους. </w:t>
      </w:r>
    </w:p>
    <w:p w:rsidR="0098712D" w:rsidRDefault="0098712D" w:rsidP="0098712D">
      <w:pPr>
        <w:jc w:val="both"/>
        <w:rPr>
          <w:rStyle w:val="a5"/>
          <w:i w:val="0"/>
          <w:sz w:val="24"/>
          <w:szCs w:val="24"/>
        </w:rPr>
      </w:pPr>
      <w:r>
        <w:rPr>
          <w:rStyle w:val="a5"/>
          <w:sz w:val="24"/>
          <w:szCs w:val="24"/>
        </w:rPr>
        <w:t>Β. Για τους τελειόφοιτους και αποφοίτους των Γενικών Λυκείων και των ΕΠΑ.Λ. της υπόλοιπης σεισμόπληκτης περιοχής, να ισχύσει σε διαφορετική κατηγορία από το νομό Λευκάδας η ποσόστωση του 0,5% καθ’ υπέρβαση του αριθμού εισακτέων (κατηγορία Β). Η κατηγορία αφορά 212 εξεταζομένους.</w:t>
      </w:r>
    </w:p>
    <w:p w:rsidR="0098712D" w:rsidRDefault="0098712D" w:rsidP="0098712D">
      <w:pPr>
        <w:jc w:val="both"/>
        <w:rPr>
          <w:rStyle w:val="a5"/>
          <w:i w:val="0"/>
          <w:sz w:val="24"/>
          <w:szCs w:val="24"/>
        </w:rPr>
      </w:pPr>
      <w:r>
        <w:rPr>
          <w:rStyle w:val="a5"/>
          <w:sz w:val="24"/>
          <w:szCs w:val="24"/>
        </w:rPr>
        <w:t>Γ. Για τους αποφοίτους των Γενικών Λυκείων και των ΕΠΑ.Λ. όλης της σεισμόπληκτης περιοχής που θα δώσουν με το παλαιό σύστημα, να ισχύσει ανεξάρτητα η ποσόστωση του 0,5% καθ’ υπέρβαση του αριθμού εισακτέων (κατηγορία Γ). Η κατηγορία αφορά 24 εξεταζομένους.</w:t>
      </w:r>
    </w:p>
    <w:p w:rsidR="0098712D" w:rsidRDefault="0098712D" w:rsidP="0098712D">
      <w:pPr>
        <w:ind w:right="624"/>
        <w:jc w:val="right"/>
        <w:rPr>
          <w:rFonts w:ascii="Times New Roman" w:eastAsia="Times New Roman" w:hAnsi="Times New Roman" w:cs="Times New Roman"/>
          <w:b/>
        </w:rPr>
      </w:pPr>
      <w:r>
        <w:rPr>
          <w:rFonts w:ascii="Times New Roman" w:eastAsia="Times New Roman" w:hAnsi="Times New Roman" w:cs="Times New Roman"/>
          <w:b/>
          <w:sz w:val="24"/>
          <w:szCs w:val="24"/>
        </w:rPr>
        <w:t>Με εκτίμηση,</w:t>
      </w:r>
    </w:p>
    <w:p w:rsidR="0098712D" w:rsidRDefault="0098712D" w:rsidP="0098712D">
      <w:pPr>
        <w:ind w:right="624"/>
        <w:rPr>
          <w:rFonts w:ascii="Times New Roman" w:eastAsia="Times New Roman" w:hAnsi="Times New Roman" w:cs="Times New Roman"/>
          <w:b/>
          <w:sz w:val="24"/>
          <w:szCs w:val="24"/>
        </w:rPr>
      </w:pPr>
    </w:p>
    <w:p w:rsidR="0098712D" w:rsidRDefault="0098712D" w:rsidP="0098712D">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Αθανάσιος Ι. Καββαδάς</w:t>
      </w:r>
    </w:p>
    <w:p w:rsidR="0098712D" w:rsidRDefault="0098712D" w:rsidP="0098712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Βουλευτής Ν. Λευκάδας</w:t>
      </w:r>
    </w:p>
    <w:p w:rsidR="0098712D" w:rsidRDefault="0098712D" w:rsidP="0098712D">
      <w:pPr>
        <w:spacing w:after="0"/>
        <w:rPr>
          <w:rFonts w:ascii="Times New Roman" w:eastAsia="Times New Roman" w:hAnsi="Times New Roman" w:cs="Times New Roman"/>
        </w:rPr>
      </w:pPr>
      <w:r>
        <w:rPr>
          <w:rFonts w:ascii="Times New Roman" w:eastAsia="Times New Roman" w:hAnsi="Times New Roman" w:cs="Times New Roman"/>
        </w:rPr>
        <w:t>Συνημμένα: Πίνακες, σελ. 6</w:t>
      </w:r>
    </w:p>
    <w:p w:rsidR="0098712D" w:rsidRDefault="0098712D" w:rsidP="0098712D">
      <w:pPr>
        <w:rPr>
          <w:szCs w:val="24"/>
        </w:rPr>
      </w:pPr>
    </w:p>
    <w:p w:rsidR="008804D4" w:rsidRDefault="008804D4" w:rsidP="008804D4">
      <w:pPr>
        <w:spacing w:after="120"/>
        <w:jc w:val="right"/>
        <w:rPr>
          <w:rFonts w:ascii="Times New Roman" w:hAnsi="Times New Roman" w:cs="Times New Roman"/>
          <w:sz w:val="24"/>
          <w:szCs w:val="24"/>
        </w:rPr>
      </w:pPr>
    </w:p>
    <w:p w:rsidR="008D5E3C" w:rsidRDefault="008D5E3C" w:rsidP="008804D4">
      <w:pPr>
        <w:spacing w:after="120"/>
        <w:jc w:val="right"/>
        <w:rPr>
          <w:rFonts w:ascii="Times New Roman" w:hAnsi="Times New Roman" w:cs="Times New Roman"/>
          <w:sz w:val="24"/>
          <w:szCs w:val="24"/>
        </w:rPr>
      </w:pPr>
    </w:p>
    <w:p w:rsidR="00EB4BF1" w:rsidRPr="00EB4BF1" w:rsidRDefault="00EB4BF1" w:rsidP="00EB4BF1">
      <w:pPr>
        <w:spacing w:after="120"/>
        <w:jc w:val="center"/>
        <w:rPr>
          <w:b/>
          <w:sz w:val="28"/>
          <w:szCs w:val="28"/>
          <w:u w:val="single"/>
        </w:rPr>
      </w:pPr>
      <w:r w:rsidRPr="00EB4BF1">
        <w:rPr>
          <w:b/>
          <w:sz w:val="28"/>
          <w:szCs w:val="28"/>
          <w:u w:val="single"/>
        </w:rPr>
        <w:t>ΣΥΜΜΕΤΟΧΗ ΜΑΘΗΤΩΝ (ΤΕΛΕΙΟΦΟΙΤΩΝ ΚΑΙ ΑΠΟΦΟΙΤΩΝ)</w:t>
      </w:r>
    </w:p>
    <w:p w:rsidR="00C56A44" w:rsidRDefault="00EB4BF1" w:rsidP="00EB4BF1">
      <w:pPr>
        <w:spacing w:after="120"/>
        <w:jc w:val="center"/>
        <w:rPr>
          <w:b/>
          <w:sz w:val="28"/>
          <w:szCs w:val="28"/>
          <w:u w:val="single"/>
        </w:rPr>
      </w:pPr>
      <w:r w:rsidRPr="00EB4BF1">
        <w:rPr>
          <w:b/>
          <w:sz w:val="28"/>
          <w:szCs w:val="28"/>
          <w:u w:val="single"/>
        </w:rPr>
        <w:t>ΣΤΙΣ ΠΑΝΕΛΛΗΝΙΕΣ ΕΞΕΤΑΣΕΙΣ 2016</w:t>
      </w:r>
    </w:p>
    <w:p w:rsidR="00EB4BF1" w:rsidRDefault="00EB4BF1" w:rsidP="00EB4BF1">
      <w:pPr>
        <w:spacing w:after="120"/>
        <w:jc w:val="center"/>
        <w:rPr>
          <w:b/>
          <w:sz w:val="28"/>
          <w:szCs w:val="28"/>
          <w:u w:val="single"/>
        </w:rPr>
      </w:pPr>
    </w:p>
    <w:tbl>
      <w:tblPr>
        <w:tblStyle w:val="a3"/>
        <w:tblW w:w="9120" w:type="dxa"/>
        <w:tblInd w:w="-318" w:type="dxa"/>
        <w:tblLook w:val="04A0"/>
      </w:tblPr>
      <w:tblGrid>
        <w:gridCol w:w="2127"/>
        <w:gridCol w:w="2170"/>
        <w:gridCol w:w="2558"/>
        <w:gridCol w:w="2265"/>
      </w:tblGrid>
      <w:tr w:rsidR="009D0D7A" w:rsidTr="009464CD">
        <w:trPr>
          <w:trHeight w:val="1142"/>
        </w:trPr>
        <w:tc>
          <w:tcPr>
            <w:tcW w:w="2127" w:type="dxa"/>
            <w:vAlign w:val="center"/>
          </w:tcPr>
          <w:p w:rsidR="009D0D7A" w:rsidRPr="009D0D7A" w:rsidRDefault="009D0D7A" w:rsidP="00CC326A">
            <w:pPr>
              <w:spacing w:after="120"/>
              <w:ind w:left="-108"/>
              <w:jc w:val="center"/>
              <w:rPr>
                <w:b/>
                <w:sz w:val="28"/>
                <w:szCs w:val="28"/>
                <w:u w:val="single"/>
              </w:rPr>
            </w:pPr>
            <w:r w:rsidRPr="009D0D7A">
              <w:rPr>
                <w:b/>
                <w:sz w:val="28"/>
                <w:szCs w:val="28"/>
                <w:u w:val="single"/>
              </w:rPr>
              <w:t>ΛΥΚΕΙΑ</w:t>
            </w:r>
          </w:p>
        </w:tc>
        <w:tc>
          <w:tcPr>
            <w:tcW w:w="2170" w:type="dxa"/>
            <w:vAlign w:val="center"/>
          </w:tcPr>
          <w:p w:rsidR="009D0D7A" w:rsidRPr="009D0D7A" w:rsidRDefault="009D0D7A" w:rsidP="009D0D7A">
            <w:pPr>
              <w:spacing w:line="276" w:lineRule="auto"/>
              <w:jc w:val="center"/>
              <w:rPr>
                <w:b/>
                <w:sz w:val="24"/>
                <w:szCs w:val="24"/>
              </w:rPr>
            </w:pPr>
            <w:r w:rsidRPr="009D0D7A">
              <w:rPr>
                <w:b/>
                <w:sz w:val="24"/>
                <w:szCs w:val="24"/>
              </w:rPr>
              <w:t>ΤΕΛΕΙΟΦΟΙΤΟΙ</w:t>
            </w:r>
          </w:p>
          <w:p w:rsidR="009D0D7A" w:rsidRPr="009D0D7A" w:rsidRDefault="009D0D7A" w:rsidP="009D0D7A">
            <w:pPr>
              <w:spacing w:line="276" w:lineRule="auto"/>
              <w:jc w:val="center"/>
              <w:rPr>
                <w:b/>
                <w:sz w:val="24"/>
                <w:szCs w:val="24"/>
              </w:rPr>
            </w:pPr>
            <w:r w:rsidRPr="009D0D7A">
              <w:rPr>
                <w:b/>
                <w:sz w:val="24"/>
                <w:szCs w:val="24"/>
              </w:rPr>
              <w:t>(ΝΕΟ ΣΥΣΤΗΜΑ)</w:t>
            </w:r>
          </w:p>
        </w:tc>
        <w:tc>
          <w:tcPr>
            <w:tcW w:w="2558" w:type="dxa"/>
            <w:vAlign w:val="center"/>
          </w:tcPr>
          <w:p w:rsidR="009D0D7A" w:rsidRPr="009D0D7A" w:rsidRDefault="009D0D7A" w:rsidP="009D0D7A">
            <w:pPr>
              <w:spacing w:line="276" w:lineRule="auto"/>
              <w:jc w:val="center"/>
              <w:rPr>
                <w:b/>
                <w:sz w:val="24"/>
                <w:szCs w:val="24"/>
              </w:rPr>
            </w:pPr>
            <w:r w:rsidRPr="009D0D7A">
              <w:rPr>
                <w:b/>
                <w:sz w:val="24"/>
                <w:szCs w:val="24"/>
              </w:rPr>
              <w:t>ΑΠΟΦΟΙΤΟΙ</w:t>
            </w:r>
          </w:p>
          <w:p w:rsidR="009D0D7A" w:rsidRPr="009D0D7A" w:rsidRDefault="009D0D7A" w:rsidP="00CC326A">
            <w:pPr>
              <w:spacing w:line="276" w:lineRule="auto"/>
              <w:jc w:val="center"/>
              <w:rPr>
                <w:b/>
                <w:sz w:val="24"/>
                <w:szCs w:val="24"/>
              </w:rPr>
            </w:pPr>
            <w:r w:rsidRPr="009D0D7A">
              <w:rPr>
                <w:b/>
                <w:sz w:val="24"/>
                <w:szCs w:val="24"/>
              </w:rPr>
              <w:t>(</w:t>
            </w:r>
            <w:r w:rsidR="00CC326A">
              <w:rPr>
                <w:b/>
                <w:sz w:val="24"/>
                <w:szCs w:val="24"/>
              </w:rPr>
              <w:t>ΝΕΟ</w:t>
            </w:r>
            <w:r w:rsidRPr="009D0D7A">
              <w:rPr>
                <w:b/>
                <w:sz w:val="24"/>
                <w:szCs w:val="24"/>
              </w:rPr>
              <w:t xml:space="preserve"> ΣΥΣΤΗΜΑ)</w:t>
            </w:r>
          </w:p>
        </w:tc>
        <w:tc>
          <w:tcPr>
            <w:tcW w:w="2265" w:type="dxa"/>
            <w:vAlign w:val="center"/>
          </w:tcPr>
          <w:p w:rsidR="009D0D7A" w:rsidRPr="009D0D7A" w:rsidRDefault="009D0D7A" w:rsidP="009D0D7A">
            <w:pPr>
              <w:spacing w:line="276" w:lineRule="auto"/>
              <w:jc w:val="center"/>
              <w:rPr>
                <w:b/>
                <w:sz w:val="24"/>
                <w:szCs w:val="24"/>
              </w:rPr>
            </w:pPr>
            <w:r w:rsidRPr="009D0D7A">
              <w:rPr>
                <w:b/>
                <w:sz w:val="24"/>
                <w:szCs w:val="24"/>
              </w:rPr>
              <w:t>ΑΠΟΦΟΙΤΟΙ</w:t>
            </w:r>
          </w:p>
          <w:p w:rsidR="009D0D7A" w:rsidRPr="009D0D7A" w:rsidRDefault="009D0D7A" w:rsidP="009D0D7A">
            <w:pPr>
              <w:spacing w:line="276" w:lineRule="auto"/>
              <w:jc w:val="center"/>
              <w:rPr>
                <w:b/>
                <w:sz w:val="24"/>
                <w:szCs w:val="24"/>
              </w:rPr>
            </w:pPr>
            <w:r w:rsidRPr="009D0D7A">
              <w:rPr>
                <w:b/>
                <w:sz w:val="24"/>
                <w:szCs w:val="24"/>
              </w:rPr>
              <w:t>(</w:t>
            </w:r>
            <w:r w:rsidR="00CC326A">
              <w:rPr>
                <w:b/>
                <w:sz w:val="24"/>
                <w:szCs w:val="24"/>
              </w:rPr>
              <w:t>ΠΑΛΑΙ</w:t>
            </w:r>
            <w:r w:rsidRPr="009D0D7A">
              <w:rPr>
                <w:b/>
                <w:sz w:val="24"/>
                <w:szCs w:val="24"/>
              </w:rPr>
              <w:t>Ο ΣΥΣΤΗΜΑ)</w:t>
            </w:r>
          </w:p>
        </w:tc>
      </w:tr>
      <w:tr w:rsidR="009D0D7A" w:rsidTr="001C274D">
        <w:trPr>
          <w:trHeight w:val="910"/>
        </w:trPr>
        <w:tc>
          <w:tcPr>
            <w:tcW w:w="2127" w:type="dxa"/>
            <w:vAlign w:val="center"/>
          </w:tcPr>
          <w:p w:rsidR="009D0D7A" w:rsidRPr="00370C4D" w:rsidRDefault="009D0D7A" w:rsidP="009D0D7A">
            <w:pPr>
              <w:spacing w:after="120"/>
              <w:jc w:val="center"/>
              <w:rPr>
                <w:b/>
                <w:sz w:val="28"/>
                <w:szCs w:val="28"/>
              </w:rPr>
            </w:pPr>
            <w:r w:rsidRPr="00370C4D">
              <w:rPr>
                <w:b/>
                <w:sz w:val="28"/>
                <w:szCs w:val="28"/>
              </w:rPr>
              <w:t>Γ.Λ. ΛΕΥΚΑΔΑΣ</w:t>
            </w:r>
          </w:p>
        </w:tc>
        <w:tc>
          <w:tcPr>
            <w:tcW w:w="2170" w:type="dxa"/>
            <w:vAlign w:val="center"/>
          </w:tcPr>
          <w:p w:rsidR="009D0D7A" w:rsidRDefault="009D0D7A" w:rsidP="009D0D7A">
            <w:pPr>
              <w:spacing w:after="120"/>
              <w:jc w:val="center"/>
              <w:rPr>
                <w:sz w:val="28"/>
                <w:szCs w:val="28"/>
              </w:rPr>
            </w:pPr>
            <w:r>
              <w:rPr>
                <w:sz w:val="28"/>
                <w:szCs w:val="28"/>
              </w:rPr>
              <w:t>156</w:t>
            </w:r>
          </w:p>
        </w:tc>
        <w:tc>
          <w:tcPr>
            <w:tcW w:w="2558" w:type="dxa"/>
            <w:vAlign w:val="center"/>
          </w:tcPr>
          <w:p w:rsidR="009D0D7A" w:rsidRDefault="009D0D7A" w:rsidP="009D0D7A">
            <w:pPr>
              <w:spacing w:after="120"/>
              <w:jc w:val="center"/>
              <w:rPr>
                <w:sz w:val="28"/>
                <w:szCs w:val="28"/>
              </w:rPr>
            </w:pPr>
            <w:r>
              <w:rPr>
                <w:sz w:val="28"/>
                <w:szCs w:val="28"/>
              </w:rPr>
              <w:t>31</w:t>
            </w:r>
          </w:p>
        </w:tc>
        <w:tc>
          <w:tcPr>
            <w:tcW w:w="2265" w:type="dxa"/>
            <w:vAlign w:val="center"/>
          </w:tcPr>
          <w:p w:rsidR="009D0D7A" w:rsidRDefault="009D0D7A" w:rsidP="009D0D7A">
            <w:pPr>
              <w:spacing w:after="120"/>
              <w:jc w:val="center"/>
              <w:rPr>
                <w:sz w:val="28"/>
                <w:szCs w:val="28"/>
              </w:rPr>
            </w:pPr>
            <w:r>
              <w:rPr>
                <w:sz w:val="28"/>
                <w:szCs w:val="28"/>
              </w:rPr>
              <w:t>7</w:t>
            </w:r>
          </w:p>
        </w:tc>
      </w:tr>
      <w:tr w:rsidR="009D0D7A" w:rsidTr="00CC326A">
        <w:trPr>
          <w:trHeight w:val="1103"/>
        </w:trPr>
        <w:tc>
          <w:tcPr>
            <w:tcW w:w="2127" w:type="dxa"/>
            <w:vAlign w:val="center"/>
          </w:tcPr>
          <w:p w:rsidR="009D0D7A" w:rsidRPr="00370C4D" w:rsidRDefault="009D0D7A" w:rsidP="00FA1287">
            <w:pPr>
              <w:spacing w:after="120"/>
              <w:jc w:val="center"/>
              <w:rPr>
                <w:b/>
                <w:sz w:val="28"/>
                <w:szCs w:val="28"/>
              </w:rPr>
            </w:pPr>
            <w:r w:rsidRPr="00370C4D">
              <w:rPr>
                <w:b/>
                <w:sz w:val="28"/>
                <w:szCs w:val="28"/>
              </w:rPr>
              <w:t>ΕΠΑ</w:t>
            </w:r>
            <w:r w:rsidR="00FA1287" w:rsidRPr="00370C4D">
              <w:rPr>
                <w:b/>
                <w:sz w:val="28"/>
                <w:szCs w:val="28"/>
              </w:rPr>
              <w:t>.</w:t>
            </w:r>
            <w:r w:rsidRPr="00370C4D">
              <w:rPr>
                <w:b/>
                <w:sz w:val="28"/>
                <w:szCs w:val="28"/>
              </w:rPr>
              <w:t>Λ. ΛΕΥΚΑΔΑΣ</w:t>
            </w:r>
          </w:p>
        </w:tc>
        <w:tc>
          <w:tcPr>
            <w:tcW w:w="2170" w:type="dxa"/>
            <w:vAlign w:val="center"/>
          </w:tcPr>
          <w:p w:rsidR="009D0D7A" w:rsidRDefault="009D0D7A" w:rsidP="009D0D7A">
            <w:pPr>
              <w:spacing w:after="120"/>
              <w:jc w:val="center"/>
              <w:rPr>
                <w:sz w:val="28"/>
                <w:szCs w:val="28"/>
              </w:rPr>
            </w:pPr>
            <w:r>
              <w:rPr>
                <w:sz w:val="28"/>
                <w:szCs w:val="28"/>
              </w:rPr>
              <w:t>34</w:t>
            </w:r>
          </w:p>
        </w:tc>
        <w:tc>
          <w:tcPr>
            <w:tcW w:w="2558" w:type="dxa"/>
            <w:vAlign w:val="center"/>
          </w:tcPr>
          <w:p w:rsidR="009D0D7A" w:rsidRDefault="009D0D7A" w:rsidP="009D0D7A">
            <w:pPr>
              <w:spacing w:after="120"/>
              <w:jc w:val="center"/>
              <w:rPr>
                <w:sz w:val="28"/>
                <w:szCs w:val="28"/>
              </w:rPr>
            </w:pPr>
            <w:r>
              <w:rPr>
                <w:sz w:val="28"/>
                <w:szCs w:val="28"/>
              </w:rPr>
              <w:t>-</w:t>
            </w:r>
          </w:p>
        </w:tc>
        <w:tc>
          <w:tcPr>
            <w:tcW w:w="2265" w:type="dxa"/>
            <w:vAlign w:val="center"/>
          </w:tcPr>
          <w:p w:rsidR="009D0D7A" w:rsidRDefault="009D0D7A" w:rsidP="009D0D7A">
            <w:pPr>
              <w:spacing w:after="120"/>
              <w:jc w:val="center"/>
              <w:rPr>
                <w:sz w:val="28"/>
                <w:szCs w:val="28"/>
              </w:rPr>
            </w:pPr>
            <w:r>
              <w:rPr>
                <w:sz w:val="28"/>
                <w:szCs w:val="28"/>
              </w:rPr>
              <w:t>2</w:t>
            </w:r>
          </w:p>
        </w:tc>
      </w:tr>
      <w:tr w:rsidR="009D0D7A" w:rsidTr="001C274D">
        <w:trPr>
          <w:trHeight w:val="1006"/>
        </w:trPr>
        <w:tc>
          <w:tcPr>
            <w:tcW w:w="2127" w:type="dxa"/>
            <w:vAlign w:val="center"/>
          </w:tcPr>
          <w:p w:rsidR="009D0D7A" w:rsidRPr="00370C4D" w:rsidRDefault="009D0D7A" w:rsidP="009D0D7A">
            <w:pPr>
              <w:spacing w:after="120"/>
              <w:jc w:val="center"/>
              <w:rPr>
                <w:b/>
                <w:sz w:val="28"/>
                <w:szCs w:val="28"/>
              </w:rPr>
            </w:pPr>
            <w:r w:rsidRPr="00370C4D">
              <w:rPr>
                <w:b/>
                <w:sz w:val="28"/>
                <w:szCs w:val="28"/>
              </w:rPr>
              <w:t>Γ.Λ. ΜΥΤΙΚΑ</w:t>
            </w:r>
            <w:r w:rsidR="00FA1287" w:rsidRPr="00370C4D">
              <w:rPr>
                <w:b/>
                <w:sz w:val="28"/>
                <w:szCs w:val="28"/>
              </w:rPr>
              <w:t xml:space="preserve"> ΑΛΥΖΙΑΣ</w:t>
            </w:r>
          </w:p>
        </w:tc>
        <w:tc>
          <w:tcPr>
            <w:tcW w:w="2170" w:type="dxa"/>
            <w:vAlign w:val="center"/>
          </w:tcPr>
          <w:p w:rsidR="009D0D7A" w:rsidRDefault="009D0D7A" w:rsidP="009D0D7A">
            <w:pPr>
              <w:spacing w:after="120"/>
              <w:jc w:val="center"/>
              <w:rPr>
                <w:sz w:val="28"/>
                <w:szCs w:val="28"/>
              </w:rPr>
            </w:pPr>
            <w:r>
              <w:rPr>
                <w:sz w:val="28"/>
                <w:szCs w:val="28"/>
              </w:rPr>
              <w:t>26</w:t>
            </w:r>
          </w:p>
        </w:tc>
        <w:tc>
          <w:tcPr>
            <w:tcW w:w="2558" w:type="dxa"/>
            <w:vAlign w:val="center"/>
          </w:tcPr>
          <w:p w:rsidR="009D0D7A" w:rsidRDefault="009D0D7A" w:rsidP="009D0D7A">
            <w:pPr>
              <w:spacing w:after="120"/>
              <w:jc w:val="center"/>
              <w:rPr>
                <w:sz w:val="28"/>
                <w:szCs w:val="28"/>
              </w:rPr>
            </w:pPr>
            <w:r>
              <w:rPr>
                <w:sz w:val="28"/>
                <w:szCs w:val="28"/>
              </w:rPr>
              <w:t>-</w:t>
            </w:r>
          </w:p>
        </w:tc>
        <w:tc>
          <w:tcPr>
            <w:tcW w:w="2265" w:type="dxa"/>
            <w:vAlign w:val="center"/>
          </w:tcPr>
          <w:p w:rsidR="009D0D7A" w:rsidRDefault="009D0D7A" w:rsidP="009D0D7A">
            <w:pPr>
              <w:spacing w:after="120"/>
              <w:jc w:val="center"/>
              <w:rPr>
                <w:sz w:val="28"/>
                <w:szCs w:val="28"/>
              </w:rPr>
            </w:pPr>
            <w:r>
              <w:rPr>
                <w:sz w:val="28"/>
                <w:szCs w:val="28"/>
              </w:rPr>
              <w:t>-</w:t>
            </w:r>
          </w:p>
        </w:tc>
      </w:tr>
      <w:tr w:rsidR="009D0D7A" w:rsidTr="001C274D">
        <w:trPr>
          <w:trHeight w:val="808"/>
        </w:trPr>
        <w:tc>
          <w:tcPr>
            <w:tcW w:w="2127" w:type="dxa"/>
            <w:vAlign w:val="center"/>
          </w:tcPr>
          <w:p w:rsidR="009D0D7A" w:rsidRPr="00370C4D" w:rsidRDefault="009D0D7A" w:rsidP="009D0D7A">
            <w:pPr>
              <w:spacing w:after="120"/>
              <w:jc w:val="center"/>
              <w:rPr>
                <w:b/>
                <w:sz w:val="28"/>
                <w:szCs w:val="28"/>
              </w:rPr>
            </w:pPr>
            <w:r w:rsidRPr="00370C4D">
              <w:rPr>
                <w:b/>
                <w:sz w:val="28"/>
                <w:szCs w:val="28"/>
              </w:rPr>
              <w:t>Γ.Λ. ΑΣΤΑΚΟΥ</w:t>
            </w:r>
          </w:p>
        </w:tc>
        <w:tc>
          <w:tcPr>
            <w:tcW w:w="2170" w:type="dxa"/>
            <w:vAlign w:val="center"/>
          </w:tcPr>
          <w:p w:rsidR="009D0D7A" w:rsidRDefault="009D0D7A" w:rsidP="009D0D7A">
            <w:pPr>
              <w:spacing w:after="120"/>
              <w:jc w:val="center"/>
              <w:rPr>
                <w:sz w:val="28"/>
                <w:szCs w:val="28"/>
              </w:rPr>
            </w:pPr>
            <w:r>
              <w:rPr>
                <w:sz w:val="28"/>
                <w:szCs w:val="28"/>
              </w:rPr>
              <w:t>31</w:t>
            </w:r>
          </w:p>
        </w:tc>
        <w:tc>
          <w:tcPr>
            <w:tcW w:w="2558" w:type="dxa"/>
            <w:vAlign w:val="center"/>
          </w:tcPr>
          <w:p w:rsidR="009D0D7A" w:rsidRDefault="009D0D7A" w:rsidP="009D0D7A">
            <w:pPr>
              <w:spacing w:after="120"/>
              <w:jc w:val="center"/>
              <w:rPr>
                <w:sz w:val="28"/>
                <w:szCs w:val="28"/>
              </w:rPr>
            </w:pPr>
            <w:r>
              <w:rPr>
                <w:sz w:val="28"/>
                <w:szCs w:val="28"/>
              </w:rPr>
              <w:t>-</w:t>
            </w:r>
          </w:p>
        </w:tc>
        <w:tc>
          <w:tcPr>
            <w:tcW w:w="2265" w:type="dxa"/>
            <w:vAlign w:val="center"/>
          </w:tcPr>
          <w:p w:rsidR="009D0D7A" w:rsidRDefault="009D0D7A" w:rsidP="009D0D7A">
            <w:pPr>
              <w:spacing w:after="120"/>
              <w:jc w:val="center"/>
              <w:rPr>
                <w:sz w:val="28"/>
                <w:szCs w:val="28"/>
              </w:rPr>
            </w:pPr>
            <w:r>
              <w:rPr>
                <w:sz w:val="28"/>
                <w:szCs w:val="28"/>
              </w:rPr>
              <w:t>-</w:t>
            </w:r>
          </w:p>
        </w:tc>
      </w:tr>
      <w:tr w:rsidR="009D0D7A" w:rsidTr="001C274D">
        <w:trPr>
          <w:trHeight w:val="956"/>
        </w:trPr>
        <w:tc>
          <w:tcPr>
            <w:tcW w:w="2127" w:type="dxa"/>
            <w:vAlign w:val="center"/>
          </w:tcPr>
          <w:p w:rsidR="009D0D7A" w:rsidRPr="00370C4D" w:rsidRDefault="009D0D7A" w:rsidP="009D0D7A">
            <w:pPr>
              <w:spacing w:after="120"/>
              <w:jc w:val="center"/>
              <w:rPr>
                <w:b/>
                <w:sz w:val="28"/>
                <w:szCs w:val="28"/>
              </w:rPr>
            </w:pPr>
            <w:r w:rsidRPr="00370C4D">
              <w:rPr>
                <w:b/>
                <w:sz w:val="28"/>
                <w:szCs w:val="28"/>
              </w:rPr>
              <w:t>Γ.Λ. ΕΡΙΣΟΥ ΚΕΦΑΛΛΗΝΙΑΣ</w:t>
            </w:r>
          </w:p>
        </w:tc>
        <w:tc>
          <w:tcPr>
            <w:tcW w:w="2170" w:type="dxa"/>
            <w:vAlign w:val="center"/>
          </w:tcPr>
          <w:p w:rsidR="009D0D7A" w:rsidRDefault="009D0D7A" w:rsidP="009D0D7A">
            <w:pPr>
              <w:spacing w:after="120"/>
              <w:jc w:val="center"/>
              <w:rPr>
                <w:sz w:val="28"/>
                <w:szCs w:val="28"/>
              </w:rPr>
            </w:pPr>
            <w:r>
              <w:rPr>
                <w:sz w:val="28"/>
                <w:szCs w:val="28"/>
              </w:rPr>
              <w:t>13</w:t>
            </w:r>
          </w:p>
        </w:tc>
        <w:tc>
          <w:tcPr>
            <w:tcW w:w="2558" w:type="dxa"/>
            <w:vAlign w:val="center"/>
          </w:tcPr>
          <w:p w:rsidR="009D0D7A" w:rsidRDefault="009D0D7A" w:rsidP="009D0D7A">
            <w:pPr>
              <w:spacing w:after="120"/>
              <w:jc w:val="center"/>
              <w:rPr>
                <w:sz w:val="28"/>
                <w:szCs w:val="28"/>
              </w:rPr>
            </w:pPr>
            <w:r>
              <w:rPr>
                <w:sz w:val="28"/>
                <w:szCs w:val="28"/>
              </w:rPr>
              <w:t>-</w:t>
            </w:r>
          </w:p>
        </w:tc>
        <w:tc>
          <w:tcPr>
            <w:tcW w:w="2265" w:type="dxa"/>
            <w:vAlign w:val="center"/>
          </w:tcPr>
          <w:p w:rsidR="009D0D7A" w:rsidRDefault="009D0D7A" w:rsidP="009D0D7A">
            <w:pPr>
              <w:spacing w:after="120"/>
              <w:jc w:val="center"/>
              <w:rPr>
                <w:sz w:val="28"/>
                <w:szCs w:val="28"/>
              </w:rPr>
            </w:pPr>
            <w:r>
              <w:rPr>
                <w:sz w:val="28"/>
                <w:szCs w:val="28"/>
              </w:rPr>
              <w:t>3</w:t>
            </w:r>
          </w:p>
        </w:tc>
      </w:tr>
      <w:tr w:rsidR="009D0D7A" w:rsidTr="001C274D">
        <w:trPr>
          <w:trHeight w:val="804"/>
        </w:trPr>
        <w:tc>
          <w:tcPr>
            <w:tcW w:w="2127" w:type="dxa"/>
            <w:vAlign w:val="center"/>
          </w:tcPr>
          <w:p w:rsidR="009D0D7A" w:rsidRPr="00370C4D" w:rsidRDefault="009D0D7A" w:rsidP="009D0D7A">
            <w:pPr>
              <w:spacing w:after="120"/>
              <w:jc w:val="center"/>
              <w:rPr>
                <w:b/>
                <w:sz w:val="28"/>
                <w:szCs w:val="28"/>
              </w:rPr>
            </w:pPr>
            <w:r w:rsidRPr="00370C4D">
              <w:rPr>
                <w:b/>
                <w:sz w:val="28"/>
                <w:szCs w:val="28"/>
              </w:rPr>
              <w:t>Γ.Λ. ΙΘΑΚΗΣ</w:t>
            </w:r>
          </w:p>
        </w:tc>
        <w:tc>
          <w:tcPr>
            <w:tcW w:w="2170" w:type="dxa"/>
            <w:vAlign w:val="center"/>
          </w:tcPr>
          <w:p w:rsidR="009D0D7A" w:rsidRDefault="009D0D7A" w:rsidP="009D0D7A">
            <w:pPr>
              <w:spacing w:after="120"/>
              <w:jc w:val="center"/>
              <w:rPr>
                <w:sz w:val="28"/>
                <w:szCs w:val="28"/>
              </w:rPr>
            </w:pPr>
            <w:r>
              <w:rPr>
                <w:sz w:val="28"/>
                <w:szCs w:val="28"/>
              </w:rPr>
              <w:t>16</w:t>
            </w:r>
          </w:p>
        </w:tc>
        <w:tc>
          <w:tcPr>
            <w:tcW w:w="2558" w:type="dxa"/>
            <w:vAlign w:val="center"/>
          </w:tcPr>
          <w:p w:rsidR="009D0D7A" w:rsidRDefault="009D0D7A" w:rsidP="009D0D7A">
            <w:pPr>
              <w:spacing w:after="120"/>
              <w:jc w:val="center"/>
              <w:rPr>
                <w:sz w:val="28"/>
                <w:szCs w:val="28"/>
              </w:rPr>
            </w:pPr>
            <w:r>
              <w:rPr>
                <w:sz w:val="28"/>
                <w:szCs w:val="28"/>
              </w:rPr>
              <w:t>-</w:t>
            </w:r>
          </w:p>
        </w:tc>
        <w:tc>
          <w:tcPr>
            <w:tcW w:w="2265" w:type="dxa"/>
            <w:vAlign w:val="center"/>
          </w:tcPr>
          <w:p w:rsidR="009D0D7A" w:rsidRDefault="009D0D7A" w:rsidP="009D0D7A">
            <w:pPr>
              <w:spacing w:after="120"/>
              <w:jc w:val="center"/>
              <w:rPr>
                <w:sz w:val="28"/>
                <w:szCs w:val="28"/>
              </w:rPr>
            </w:pPr>
            <w:r>
              <w:rPr>
                <w:sz w:val="28"/>
                <w:szCs w:val="28"/>
              </w:rPr>
              <w:t>-</w:t>
            </w:r>
          </w:p>
        </w:tc>
      </w:tr>
      <w:tr w:rsidR="009D0D7A" w:rsidTr="001C274D">
        <w:trPr>
          <w:trHeight w:val="856"/>
        </w:trPr>
        <w:tc>
          <w:tcPr>
            <w:tcW w:w="2127" w:type="dxa"/>
            <w:vAlign w:val="center"/>
          </w:tcPr>
          <w:p w:rsidR="009D0D7A" w:rsidRPr="00370C4D" w:rsidRDefault="00FA1287" w:rsidP="009D0D7A">
            <w:pPr>
              <w:spacing w:after="120"/>
              <w:jc w:val="center"/>
              <w:rPr>
                <w:b/>
                <w:sz w:val="28"/>
                <w:szCs w:val="28"/>
              </w:rPr>
            </w:pPr>
            <w:r w:rsidRPr="00370C4D">
              <w:rPr>
                <w:b/>
                <w:sz w:val="28"/>
                <w:szCs w:val="28"/>
              </w:rPr>
              <w:t>ΕΠ</w:t>
            </w:r>
            <w:r w:rsidR="009D0D7A" w:rsidRPr="00370C4D">
              <w:rPr>
                <w:b/>
                <w:sz w:val="28"/>
                <w:szCs w:val="28"/>
              </w:rPr>
              <w:t>Α</w:t>
            </w:r>
            <w:r w:rsidRPr="00370C4D">
              <w:rPr>
                <w:b/>
                <w:sz w:val="28"/>
                <w:szCs w:val="28"/>
              </w:rPr>
              <w:t>.</w:t>
            </w:r>
            <w:r w:rsidR="009D0D7A" w:rsidRPr="00370C4D">
              <w:rPr>
                <w:b/>
                <w:sz w:val="28"/>
                <w:szCs w:val="28"/>
              </w:rPr>
              <w:t>Λ. ΙΘΑΚΗΣ</w:t>
            </w:r>
          </w:p>
        </w:tc>
        <w:tc>
          <w:tcPr>
            <w:tcW w:w="2170" w:type="dxa"/>
            <w:vAlign w:val="center"/>
          </w:tcPr>
          <w:p w:rsidR="009D0D7A" w:rsidRDefault="009D0D7A" w:rsidP="009D0D7A">
            <w:pPr>
              <w:spacing w:after="120"/>
              <w:jc w:val="center"/>
              <w:rPr>
                <w:sz w:val="28"/>
                <w:szCs w:val="28"/>
              </w:rPr>
            </w:pPr>
            <w:r>
              <w:rPr>
                <w:sz w:val="28"/>
                <w:szCs w:val="28"/>
              </w:rPr>
              <w:t>9</w:t>
            </w:r>
          </w:p>
        </w:tc>
        <w:tc>
          <w:tcPr>
            <w:tcW w:w="2558" w:type="dxa"/>
            <w:vAlign w:val="center"/>
          </w:tcPr>
          <w:p w:rsidR="009D0D7A" w:rsidRDefault="009D0D7A" w:rsidP="009D0D7A">
            <w:pPr>
              <w:spacing w:after="120"/>
              <w:jc w:val="center"/>
              <w:rPr>
                <w:sz w:val="28"/>
                <w:szCs w:val="28"/>
              </w:rPr>
            </w:pPr>
            <w:r>
              <w:rPr>
                <w:sz w:val="28"/>
                <w:szCs w:val="28"/>
              </w:rPr>
              <w:t>-</w:t>
            </w:r>
          </w:p>
        </w:tc>
        <w:tc>
          <w:tcPr>
            <w:tcW w:w="2265" w:type="dxa"/>
            <w:vAlign w:val="center"/>
          </w:tcPr>
          <w:p w:rsidR="009D0D7A" w:rsidRDefault="009D0D7A" w:rsidP="009D0D7A">
            <w:pPr>
              <w:spacing w:after="120"/>
              <w:jc w:val="center"/>
              <w:rPr>
                <w:sz w:val="28"/>
                <w:szCs w:val="28"/>
              </w:rPr>
            </w:pPr>
            <w:r>
              <w:rPr>
                <w:sz w:val="28"/>
                <w:szCs w:val="28"/>
              </w:rPr>
              <w:t>1</w:t>
            </w:r>
          </w:p>
        </w:tc>
      </w:tr>
      <w:tr w:rsidR="009D0D7A" w:rsidTr="001C274D">
        <w:trPr>
          <w:trHeight w:val="968"/>
        </w:trPr>
        <w:tc>
          <w:tcPr>
            <w:tcW w:w="2127" w:type="dxa"/>
            <w:vAlign w:val="center"/>
          </w:tcPr>
          <w:p w:rsidR="009D0D7A" w:rsidRPr="00370C4D" w:rsidRDefault="00CC326A" w:rsidP="009D0D7A">
            <w:pPr>
              <w:spacing w:after="120"/>
              <w:jc w:val="center"/>
              <w:rPr>
                <w:b/>
                <w:sz w:val="28"/>
                <w:szCs w:val="28"/>
              </w:rPr>
            </w:pPr>
            <w:r w:rsidRPr="00370C4D">
              <w:rPr>
                <w:b/>
                <w:sz w:val="28"/>
                <w:szCs w:val="28"/>
              </w:rPr>
              <w:t xml:space="preserve">Γ.Λ. ΚΑΤΟΥΝΑΣ (ΑΙΤ/ΝΙΑΣ) </w:t>
            </w:r>
          </w:p>
        </w:tc>
        <w:tc>
          <w:tcPr>
            <w:tcW w:w="2170" w:type="dxa"/>
            <w:vAlign w:val="center"/>
          </w:tcPr>
          <w:p w:rsidR="009D0D7A" w:rsidRDefault="00CC326A" w:rsidP="009D0D7A">
            <w:pPr>
              <w:spacing w:after="120"/>
              <w:jc w:val="center"/>
              <w:rPr>
                <w:sz w:val="28"/>
                <w:szCs w:val="28"/>
              </w:rPr>
            </w:pPr>
            <w:r>
              <w:rPr>
                <w:sz w:val="28"/>
                <w:szCs w:val="28"/>
              </w:rPr>
              <w:t>29</w:t>
            </w:r>
          </w:p>
        </w:tc>
        <w:tc>
          <w:tcPr>
            <w:tcW w:w="2558" w:type="dxa"/>
            <w:vAlign w:val="center"/>
          </w:tcPr>
          <w:p w:rsidR="009D0D7A" w:rsidRDefault="00CC326A" w:rsidP="009D0D7A">
            <w:pPr>
              <w:spacing w:after="120"/>
              <w:jc w:val="center"/>
              <w:rPr>
                <w:sz w:val="28"/>
                <w:szCs w:val="28"/>
              </w:rPr>
            </w:pPr>
            <w:r>
              <w:rPr>
                <w:sz w:val="28"/>
                <w:szCs w:val="28"/>
              </w:rPr>
              <w:t>-</w:t>
            </w:r>
          </w:p>
        </w:tc>
        <w:tc>
          <w:tcPr>
            <w:tcW w:w="2265" w:type="dxa"/>
            <w:vAlign w:val="center"/>
          </w:tcPr>
          <w:p w:rsidR="009D0D7A" w:rsidRDefault="00CC326A" w:rsidP="009D0D7A">
            <w:pPr>
              <w:spacing w:after="120"/>
              <w:jc w:val="center"/>
              <w:rPr>
                <w:sz w:val="28"/>
                <w:szCs w:val="28"/>
              </w:rPr>
            </w:pPr>
            <w:r>
              <w:rPr>
                <w:sz w:val="28"/>
                <w:szCs w:val="28"/>
              </w:rPr>
              <w:t>-</w:t>
            </w:r>
          </w:p>
        </w:tc>
      </w:tr>
      <w:tr w:rsidR="009D0D7A" w:rsidTr="001C274D">
        <w:trPr>
          <w:trHeight w:val="1009"/>
        </w:trPr>
        <w:tc>
          <w:tcPr>
            <w:tcW w:w="2127" w:type="dxa"/>
            <w:vAlign w:val="center"/>
          </w:tcPr>
          <w:p w:rsidR="009D0D7A" w:rsidRPr="00370C4D" w:rsidRDefault="00CC326A" w:rsidP="00CC326A">
            <w:pPr>
              <w:spacing w:line="276" w:lineRule="auto"/>
              <w:jc w:val="center"/>
              <w:rPr>
                <w:b/>
                <w:sz w:val="28"/>
                <w:szCs w:val="28"/>
              </w:rPr>
            </w:pPr>
            <w:r w:rsidRPr="00370C4D">
              <w:rPr>
                <w:b/>
                <w:sz w:val="28"/>
                <w:szCs w:val="28"/>
              </w:rPr>
              <w:t>Γ.Λ. ΠΑΛΑΙΡΟΥ (ΑΙΤ/ΝΙΑΣ)</w:t>
            </w:r>
          </w:p>
        </w:tc>
        <w:tc>
          <w:tcPr>
            <w:tcW w:w="2170" w:type="dxa"/>
            <w:vAlign w:val="center"/>
          </w:tcPr>
          <w:p w:rsidR="009D0D7A" w:rsidRDefault="00CC326A" w:rsidP="009D0D7A">
            <w:pPr>
              <w:spacing w:after="120"/>
              <w:jc w:val="center"/>
              <w:rPr>
                <w:sz w:val="28"/>
                <w:szCs w:val="28"/>
              </w:rPr>
            </w:pPr>
            <w:r>
              <w:rPr>
                <w:sz w:val="28"/>
                <w:szCs w:val="28"/>
              </w:rPr>
              <w:t>23</w:t>
            </w:r>
          </w:p>
        </w:tc>
        <w:tc>
          <w:tcPr>
            <w:tcW w:w="2558" w:type="dxa"/>
            <w:vAlign w:val="center"/>
          </w:tcPr>
          <w:p w:rsidR="009D0D7A" w:rsidRDefault="00CC326A" w:rsidP="009D0D7A">
            <w:pPr>
              <w:spacing w:after="120"/>
              <w:jc w:val="center"/>
              <w:rPr>
                <w:sz w:val="28"/>
                <w:szCs w:val="28"/>
              </w:rPr>
            </w:pPr>
            <w:r>
              <w:rPr>
                <w:sz w:val="28"/>
                <w:szCs w:val="28"/>
              </w:rPr>
              <w:t>-</w:t>
            </w:r>
          </w:p>
        </w:tc>
        <w:tc>
          <w:tcPr>
            <w:tcW w:w="2265" w:type="dxa"/>
            <w:vAlign w:val="center"/>
          </w:tcPr>
          <w:p w:rsidR="009D0D7A" w:rsidRDefault="00CC326A" w:rsidP="009D0D7A">
            <w:pPr>
              <w:spacing w:after="120"/>
              <w:jc w:val="center"/>
              <w:rPr>
                <w:sz w:val="28"/>
                <w:szCs w:val="28"/>
              </w:rPr>
            </w:pPr>
            <w:r>
              <w:rPr>
                <w:sz w:val="28"/>
                <w:szCs w:val="28"/>
              </w:rPr>
              <w:t>-</w:t>
            </w:r>
          </w:p>
        </w:tc>
      </w:tr>
      <w:tr w:rsidR="009D0D7A" w:rsidTr="00AD0398">
        <w:trPr>
          <w:trHeight w:val="666"/>
        </w:trPr>
        <w:tc>
          <w:tcPr>
            <w:tcW w:w="2127" w:type="dxa"/>
            <w:vAlign w:val="center"/>
          </w:tcPr>
          <w:p w:rsidR="009D0D7A" w:rsidRPr="00370C4D" w:rsidRDefault="00CC326A" w:rsidP="009D0D7A">
            <w:pPr>
              <w:spacing w:after="120"/>
              <w:jc w:val="center"/>
              <w:rPr>
                <w:b/>
                <w:sz w:val="28"/>
                <w:szCs w:val="28"/>
              </w:rPr>
            </w:pPr>
            <w:r w:rsidRPr="00370C4D">
              <w:rPr>
                <w:b/>
                <w:sz w:val="28"/>
                <w:szCs w:val="28"/>
              </w:rPr>
              <w:t>Γ.Λ. ΒΟΝΙΤΣΑΣ</w:t>
            </w:r>
          </w:p>
        </w:tc>
        <w:tc>
          <w:tcPr>
            <w:tcW w:w="2170" w:type="dxa"/>
            <w:vAlign w:val="center"/>
          </w:tcPr>
          <w:p w:rsidR="009D0D7A" w:rsidRDefault="00CC326A" w:rsidP="009D0D7A">
            <w:pPr>
              <w:spacing w:after="120"/>
              <w:jc w:val="center"/>
              <w:rPr>
                <w:sz w:val="28"/>
                <w:szCs w:val="28"/>
              </w:rPr>
            </w:pPr>
            <w:r>
              <w:rPr>
                <w:sz w:val="28"/>
                <w:szCs w:val="28"/>
              </w:rPr>
              <w:t>48</w:t>
            </w:r>
          </w:p>
        </w:tc>
        <w:tc>
          <w:tcPr>
            <w:tcW w:w="2558" w:type="dxa"/>
            <w:vAlign w:val="center"/>
          </w:tcPr>
          <w:p w:rsidR="009D0D7A" w:rsidRDefault="00CC326A" w:rsidP="009D0D7A">
            <w:pPr>
              <w:spacing w:after="120"/>
              <w:jc w:val="center"/>
              <w:rPr>
                <w:sz w:val="28"/>
                <w:szCs w:val="28"/>
              </w:rPr>
            </w:pPr>
            <w:r>
              <w:rPr>
                <w:sz w:val="28"/>
                <w:szCs w:val="28"/>
              </w:rPr>
              <w:t>-</w:t>
            </w:r>
          </w:p>
        </w:tc>
        <w:tc>
          <w:tcPr>
            <w:tcW w:w="2265" w:type="dxa"/>
            <w:vAlign w:val="center"/>
          </w:tcPr>
          <w:p w:rsidR="009D0D7A" w:rsidRDefault="00CC326A" w:rsidP="009D0D7A">
            <w:pPr>
              <w:spacing w:after="120"/>
              <w:jc w:val="center"/>
              <w:rPr>
                <w:sz w:val="28"/>
                <w:szCs w:val="28"/>
              </w:rPr>
            </w:pPr>
            <w:r>
              <w:rPr>
                <w:sz w:val="28"/>
                <w:szCs w:val="28"/>
              </w:rPr>
              <w:t>3</w:t>
            </w:r>
          </w:p>
        </w:tc>
      </w:tr>
      <w:tr w:rsidR="00CC326A" w:rsidTr="00AD0398">
        <w:trPr>
          <w:trHeight w:val="834"/>
        </w:trPr>
        <w:tc>
          <w:tcPr>
            <w:tcW w:w="2127" w:type="dxa"/>
            <w:vAlign w:val="center"/>
          </w:tcPr>
          <w:p w:rsidR="00CC326A" w:rsidRPr="00370C4D" w:rsidRDefault="00FA1287" w:rsidP="009D0D7A">
            <w:pPr>
              <w:spacing w:after="120"/>
              <w:jc w:val="center"/>
              <w:rPr>
                <w:b/>
                <w:sz w:val="28"/>
                <w:szCs w:val="28"/>
              </w:rPr>
            </w:pPr>
            <w:r w:rsidRPr="00370C4D">
              <w:rPr>
                <w:b/>
                <w:sz w:val="28"/>
                <w:szCs w:val="28"/>
              </w:rPr>
              <w:t>ΕΠ</w:t>
            </w:r>
            <w:r w:rsidR="00CC326A" w:rsidRPr="00370C4D">
              <w:rPr>
                <w:b/>
                <w:sz w:val="28"/>
                <w:szCs w:val="28"/>
              </w:rPr>
              <w:t>Α</w:t>
            </w:r>
            <w:r w:rsidRPr="00370C4D">
              <w:rPr>
                <w:b/>
                <w:sz w:val="28"/>
                <w:szCs w:val="28"/>
              </w:rPr>
              <w:t>.</w:t>
            </w:r>
            <w:r w:rsidR="00CC326A" w:rsidRPr="00370C4D">
              <w:rPr>
                <w:b/>
                <w:sz w:val="28"/>
                <w:szCs w:val="28"/>
              </w:rPr>
              <w:t>Λ. ΒΟΝΙΤΣΑΣ</w:t>
            </w:r>
          </w:p>
        </w:tc>
        <w:tc>
          <w:tcPr>
            <w:tcW w:w="2170" w:type="dxa"/>
            <w:vAlign w:val="center"/>
          </w:tcPr>
          <w:p w:rsidR="00CC326A" w:rsidRDefault="00CC326A" w:rsidP="009D0D7A">
            <w:pPr>
              <w:spacing w:after="120"/>
              <w:jc w:val="center"/>
              <w:rPr>
                <w:sz w:val="28"/>
                <w:szCs w:val="28"/>
              </w:rPr>
            </w:pPr>
            <w:r>
              <w:rPr>
                <w:sz w:val="28"/>
                <w:szCs w:val="28"/>
              </w:rPr>
              <w:t>17</w:t>
            </w:r>
          </w:p>
        </w:tc>
        <w:tc>
          <w:tcPr>
            <w:tcW w:w="2558" w:type="dxa"/>
            <w:vAlign w:val="center"/>
          </w:tcPr>
          <w:p w:rsidR="00CC326A" w:rsidRDefault="00CC326A" w:rsidP="009D0D7A">
            <w:pPr>
              <w:spacing w:after="120"/>
              <w:jc w:val="center"/>
              <w:rPr>
                <w:sz w:val="28"/>
                <w:szCs w:val="28"/>
              </w:rPr>
            </w:pPr>
            <w:r>
              <w:rPr>
                <w:sz w:val="28"/>
                <w:szCs w:val="28"/>
              </w:rPr>
              <w:t>-</w:t>
            </w:r>
          </w:p>
        </w:tc>
        <w:tc>
          <w:tcPr>
            <w:tcW w:w="2265" w:type="dxa"/>
            <w:vAlign w:val="center"/>
          </w:tcPr>
          <w:p w:rsidR="00CC326A" w:rsidRDefault="00CC326A" w:rsidP="009D0D7A">
            <w:pPr>
              <w:spacing w:after="120"/>
              <w:jc w:val="center"/>
              <w:rPr>
                <w:sz w:val="28"/>
                <w:szCs w:val="28"/>
              </w:rPr>
            </w:pPr>
            <w:r>
              <w:rPr>
                <w:sz w:val="28"/>
                <w:szCs w:val="28"/>
              </w:rPr>
              <w:t>8</w:t>
            </w:r>
          </w:p>
        </w:tc>
      </w:tr>
      <w:tr w:rsidR="000F1375" w:rsidTr="000F1375">
        <w:trPr>
          <w:trHeight w:val="274"/>
        </w:trPr>
        <w:tc>
          <w:tcPr>
            <w:tcW w:w="2127" w:type="dxa"/>
            <w:vAlign w:val="center"/>
          </w:tcPr>
          <w:p w:rsidR="000F1375" w:rsidRPr="00370C4D" w:rsidRDefault="00AD0398" w:rsidP="009D0D7A">
            <w:pPr>
              <w:spacing w:after="120"/>
              <w:jc w:val="center"/>
              <w:rPr>
                <w:b/>
                <w:sz w:val="28"/>
                <w:szCs w:val="28"/>
              </w:rPr>
            </w:pPr>
            <w:r>
              <w:rPr>
                <w:b/>
                <w:sz w:val="28"/>
                <w:szCs w:val="28"/>
              </w:rPr>
              <w:lastRenderedPageBreak/>
              <w:t>ΣΥΝΟΛΟ:</w:t>
            </w:r>
          </w:p>
        </w:tc>
        <w:tc>
          <w:tcPr>
            <w:tcW w:w="2170" w:type="dxa"/>
            <w:vAlign w:val="center"/>
          </w:tcPr>
          <w:p w:rsidR="000F1375" w:rsidRDefault="000F1375" w:rsidP="009D0D7A">
            <w:pPr>
              <w:spacing w:after="120"/>
              <w:jc w:val="center"/>
              <w:rPr>
                <w:sz w:val="28"/>
                <w:szCs w:val="28"/>
              </w:rPr>
            </w:pPr>
            <w:r>
              <w:rPr>
                <w:sz w:val="28"/>
                <w:szCs w:val="28"/>
              </w:rPr>
              <w:t>402</w:t>
            </w:r>
          </w:p>
        </w:tc>
        <w:tc>
          <w:tcPr>
            <w:tcW w:w="2558" w:type="dxa"/>
            <w:vAlign w:val="center"/>
          </w:tcPr>
          <w:p w:rsidR="000F1375" w:rsidRDefault="00281807" w:rsidP="009D0D7A">
            <w:pPr>
              <w:spacing w:after="120"/>
              <w:jc w:val="center"/>
              <w:rPr>
                <w:sz w:val="28"/>
                <w:szCs w:val="28"/>
              </w:rPr>
            </w:pPr>
            <w:r>
              <w:rPr>
                <w:sz w:val="28"/>
                <w:szCs w:val="28"/>
              </w:rPr>
              <w:t>31</w:t>
            </w:r>
          </w:p>
        </w:tc>
        <w:tc>
          <w:tcPr>
            <w:tcW w:w="2265" w:type="dxa"/>
            <w:vAlign w:val="center"/>
          </w:tcPr>
          <w:p w:rsidR="000F1375" w:rsidRDefault="00281807" w:rsidP="009D0D7A">
            <w:pPr>
              <w:spacing w:after="120"/>
              <w:jc w:val="center"/>
              <w:rPr>
                <w:sz w:val="28"/>
                <w:szCs w:val="28"/>
              </w:rPr>
            </w:pPr>
            <w:r>
              <w:rPr>
                <w:sz w:val="28"/>
                <w:szCs w:val="28"/>
              </w:rPr>
              <w:t>2</w:t>
            </w:r>
            <w:r w:rsidR="00372655">
              <w:rPr>
                <w:sz w:val="28"/>
                <w:szCs w:val="28"/>
              </w:rPr>
              <w:t>4</w:t>
            </w:r>
          </w:p>
        </w:tc>
      </w:tr>
    </w:tbl>
    <w:p w:rsidR="008804D4" w:rsidRDefault="008804D4" w:rsidP="008804D4">
      <w:pPr>
        <w:rPr>
          <w:sz w:val="28"/>
          <w:szCs w:val="28"/>
        </w:rPr>
        <w:sectPr w:rsidR="008804D4" w:rsidSect="00C612E5">
          <w:pgSz w:w="11906" w:h="16838"/>
          <w:pgMar w:top="1276" w:right="1800" w:bottom="1276" w:left="1800" w:header="708" w:footer="708" w:gutter="0"/>
          <w:cols w:space="708"/>
          <w:docGrid w:linePitch="360"/>
        </w:sectPr>
      </w:pPr>
    </w:p>
    <w:p w:rsidR="008804D4" w:rsidRPr="00AE0032" w:rsidRDefault="008804D4" w:rsidP="008804D4">
      <w:pPr>
        <w:rPr>
          <w:sz w:val="28"/>
          <w:szCs w:val="28"/>
        </w:rPr>
      </w:pPr>
    </w:p>
    <w:p w:rsidR="008804D4" w:rsidRPr="00AE0032" w:rsidRDefault="008804D4" w:rsidP="008804D4">
      <w:pPr>
        <w:rPr>
          <w:sz w:val="28"/>
          <w:szCs w:val="28"/>
        </w:rPr>
      </w:pPr>
    </w:p>
    <w:tbl>
      <w:tblPr>
        <w:tblW w:w="14743" w:type="dxa"/>
        <w:tblInd w:w="108" w:type="dxa"/>
        <w:tblLook w:val="04A0"/>
      </w:tblPr>
      <w:tblGrid>
        <w:gridCol w:w="2926"/>
        <w:gridCol w:w="1617"/>
        <w:gridCol w:w="1077"/>
        <w:gridCol w:w="1617"/>
        <w:gridCol w:w="1077"/>
        <w:gridCol w:w="1617"/>
        <w:gridCol w:w="1077"/>
        <w:gridCol w:w="1617"/>
        <w:gridCol w:w="1202"/>
        <w:gridCol w:w="1014"/>
      </w:tblGrid>
      <w:tr w:rsidR="008804D4" w:rsidRPr="007B69BD" w:rsidTr="00F12025">
        <w:trPr>
          <w:trHeight w:val="346"/>
        </w:trPr>
        <w:tc>
          <w:tcPr>
            <w:tcW w:w="2926"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b/>
                <w:bCs/>
                <w:i/>
                <w:iCs/>
                <w:color w:val="C00000"/>
                <w:sz w:val="28"/>
                <w:szCs w:val="28"/>
              </w:rPr>
            </w:pPr>
            <w:r w:rsidRPr="007B69BD">
              <w:rPr>
                <w:rFonts w:ascii="Calibri" w:eastAsia="Times New Roman" w:hAnsi="Calibri" w:cs="Times New Roman"/>
                <w:b/>
                <w:bCs/>
                <w:i/>
                <w:iCs/>
                <w:color w:val="C00000"/>
                <w:sz w:val="28"/>
                <w:szCs w:val="28"/>
              </w:rPr>
              <w:t>ΥΠ.Υ.ΜΕ.ΔΙ. / Γ.Γ.Υ.</w:t>
            </w:r>
          </w:p>
        </w:tc>
        <w:tc>
          <w:tcPr>
            <w:tcW w:w="1617"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c>
          <w:tcPr>
            <w:tcW w:w="1077"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c>
          <w:tcPr>
            <w:tcW w:w="1617"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c>
          <w:tcPr>
            <w:tcW w:w="1077"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c>
          <w:tcPr>
            <w:tcW w:w="1617"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c>
          <w:tcPr>
            <w:tcW w:w="1077"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c>
          <w:tcPr>
            <w:tcW w:w="1617"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c>
          <w:tcPr>
            <w:tcW w:w="1104"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c>
          <w:tcPr>
            <w:tcW w:w="1014"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r>
      <w:tr w:rsidR="008804D4" w:rsidRPr="007B69BD" w:rsidTr="00F12025">
        <w:trPr>
          <w:trHeight w:val="411"/>
        </w:trPr>
        <w:tc>
          <w:tcPr>
            <w:tcW w:w="9931" w:type="dxa"/>
            <w:gridSpan w:val="6"/>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b/>
                <w:bCs/>
                <w:i/>
                <w:iCs/>
                <w:color w:val="C00000"/>
                <w:sz w:val="28"/>
                <w:szCs w:val="28"/>
              </w:rPr>
            </w:pPr>
            <w:r w:rsidRPr="007B69BD">
              <w:rPr>
                <w:rFonts w:ascii="Calibri" w:eastAsia="Times New Roman" w:hAnsi="Calibri" w:cs="Times New Roman"/>
                <w:b/>
                <w:bCs/>
                <w:i/>
                <w:iCs/>
                <w:color w:val="C00000"/>
                <w:sz w:val="28"/>
                <w:szCs w:val="28"/>
              </w:rPr>
              <w:t>ΔΙΕΥΘΥΝΣΗ ΑΠΟΚΑΤΑΣΤΑΣΗΣ ΕΠΙΠΤΩΣΕΩΝ ΦΥΣΙΚΩΝ ΚΑΤΑΣΤΡΟΦΩΝ   (Δ.Α.Ε.Φ.Κ.)</w:t>
            </w:r>
          </w:p>
        </w:tc>
        <w:tc>
          <w:tcPr>
            <w:tcW w:w="1077"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c>
          <w:tcPr>
            <w:tcW w:w="1617"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c>
          <w:tcPr>
            <w:tcW w:w="1104"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c>
          <w:tcPr>
            <w:tcW w:w="1014"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r>
      <w:tr w:rsidR="008804D4" w:rsidRPr="007B69BD" w:rsidTr="00F12025">
        <w:trPr>
          <w:trHeight w:val="329"/>
        </w:trPr>
        <w:tc>
          <w:tcPr>
            <w:tcW w:w="2926"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c>
          <w:tcPr>
            <w:tcW w:w="1617"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c>
          <w:tcPr>
            <w:tcW w:w="1077"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c>
          <w:tcPr>
            <w:tcW w:w="1617"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c>
          <w:tcPr>
            <w:tcW w:w="1077"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c>
          <w:tcPr>
            <w:tcW w:w="1617"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c>
          <w:tcPr>
            <w:tcW w:w="1077"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c>
          <w:tcPr>
            <w:tcW w:w="1617"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c>
          <w:tcPr>
            <w:tcW w:w="1104"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c>
          <w:tcPr>
            <w:tcW w:w="1014"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r>
      <w:tr w:rsidR="008804D4" w:rsidRPr="00AE0032" w:rsidTr="00F12025">
        <w:trPr>
          <w:trHeight w:val="346"/>
        </w:trPr>
        <w:tc>
          <w:tcPr>
            <w:tcW w:w="2926" w:type="dxa"/>
            <w:tcBorders>
              <w:top w:val="nil"/>
              <w:left w:val="nil"/>
              <w:bottom w:val="single" w:sz="4" w:space="0" w:color="95B3D7"/>
              <w:right w:val="nil"/>
            </w:tcBorders>
            <w:shd w:val="clear" w:color="DBE5F1" w:fill="DBE5F1"/>
            <w:noWrap/>
            <w:vAlign w:val="bottom"/>
            <w:hideMark/>
          </w:tcPr>
          <w:p w:rsidR="008804D4" w:rsidRPr="007B69BD" w:rsidRDefault="008804D4" w:rsidP="00F12025">
            <w:pPr>
              <w:spacing w:after="0" w:line="240" w:lineRule="auto"/>
              <w:rPr>
                <w:rFonts w:ascii="Calibri" w:eastAsia="Times New Roman" w:hAnsi="Calibri" w:cs="Times New Roman"/>
                <w:b/>
                <w:bCs/>
                <w:color w:val="000000"/>
                <w:sz w:val="28"/>
                <w:szCs w:val="28"/>
              </w:rPr>
            </w:pPr>
            <w:r w:rsidRPr="007B69BD">
              <w:rPr>
                <w:rFonts w:ascii="Calibri" w:eastAsia="Times New Roman" w:hAnsi="Calibri" w:cs="Times New Roman"/>
                <w:b/>
                <w:bCs/>
                <w:color w:val="000000"/>
                <w:sz w:val="28"/>
                <w:szCs w:val="28"/>
              </w:rPr>
              <w:t>ΔΗΜΟΣ</w:t>
            </w:r>
          </w:p>
        </w:tc>
        <w:tc>
          <w:tcPr>
            <w:tcW w:w="1617" w:type="dxa"/>
            <w:tcBorders>
              <w:top w:val="nil"/>
              <w:left w:val="nil"/>
              <w:bottom w:val="single" w:sz="4" w:space="0" w:color="95B3D7"/>
              <w:right w:val="nil"/>
            </w:tcBorders>
            <w:shd w:val="clear" w:color="DBE5F1" w:fill="DBE5F1"/>
            <w:noWrap/>
            <w:vAlign w:val="bottom"/>
            <w:hideMark/>
          </w:tcPr>
          <w:p w:rsidR="008804D4" w:rsidRPr="007B69BD" w:rsidRDefault="008804D4" w:rsidP="00F12025">
            <w:pPr>
              <w:spacing w:after="0" w:line="240" w:lineRule="auto"/>
              <w:jc w:val="right"/>
              <w:rPr>
                <w:rFonts w:ascii="Calibri" w:eastAsia="Times New Roman" w:hAnsi="Calibri" w:cs="Times New Roman"/>
                <w:b/>
                <w:bCs/>
                <w:color w:val="000000"/>
                <w:sz w:val="28"/>
                <w:szCs w:val="28"/>
              </w:rPr>
            </w:pPr>
            <w:r w:rsidRPr="007B69BD">
              <w:rPr>
                <w:rFonts w:ascii="Calibri" w:eastAsia="Times New Roman" w:hAnsi="Calibri" w:cs="Times New Roman"/>
                <w:b/>
                <w:bCs/>
                <w:color w:val="000000"/>
                <w:sz w:val="28"/>
                <w:szCs w:val="28"/>
              </w:rPr>
              <w:t>ΚΙΤΡΙΝΟ</w:t>
            </w:r>
          </w:p>
        </w:tc>
        <w:tc>
          <w:tcPr>
            <w:tcW w:w="1077" w:type="dxa"/>
            <w:tcBorders>
              <w:top w:val="nil"/>
              <w:left w:val="nil"/>
              <w:bottom w:val="single" w:sz="4" w:space="0" w:color="95B3D7"/>
              <w:right w:val="nil"/>
            </w:tcBorders>
            <w:shd w:val="clear" w:color="DBE5F1" w:fill="DBE5F1"/>
            <w:noWrap/>
            <w:vAlign w:val="bottom"/>
            <w:hideMark/>
          </w:tcPr>
          <w:p w:rsidR="008804D4" w:rsidRPr="007B69BD" w:rsidRDefault="008804D4" w:rsidP="00F12025">
            <w:pPr>
              <w:spacing w:after="0" w:line="240" w:lineRule="auto"/>
              <w:jc w:val="right"/>
              <w:rPr>
                <w:rFonts w:ascii="Calibri" w:eastAsia="Times New Roman" w:hAnsi="Calibri" w:cs="Times New Roman"/>
                <w:b/>
                <w:bCs/>
                <w:color w:val="000000"/>
                <w:sz w:val="28"/>
                <w:szCs w:val="28"/>
              </w:rPr>
            </w:pPr>
            <w:r w:rsidRPr="007B69BD">
              <w:rPr>
                <w:rFonts w:ascii="Calibri" w:eastAsia="Times New Roman" w:hAnsi="Calibri" w:cs="Times New Roman"/>
                <w:b/>
                <w:bCs/>
                <w:color w:val="000000"/>
                <w:sz w:val="28"/>
                <w:szCs w:val="28"/>
              </w:rPr>
              <w:t>%</w:t>
            </w:r>
          </w:p>
        </w:tc>
        <w:tc>
          <w:tcPr>
            <w:tcW w:w="1617" w:type="dxa"/>
            <w:tcBorders>
              <w:top w:val="nil"/>
              <w:left w:val="nil"/>
              <w:bottom w:val="single" w:sz="4" w:space="0" w:color="95B3D7"/>
              <w:right w:val="nil"/>
            </w:tcBorders>
            <w:shd w:val="clear" w:color="DBE5F1" w:fill="DBE5F1"/>
            <w:noWrap/>
            <w:vAlign w:val="bottom"/>
            <w:hideMark/>
          </w:tcPr>
          <w:p w:rsidR="008804D4" w:rsidRPr="007B69BD" w:rsidRDefault="008804D4" w:rsidP="00F12025">
            <w:pPr>
              <w:spacing w:after="0" w:line="240" w:lineRule="auto"/>
              <w:jc w:val="right"/>
              <w:rPr>
                <w:rFonts w:ascii="Calibri" w:eastAsia="Times New Roman" w:hAnsi="Calibri" w:cs="Times New Roman"/>
                <w:b/>
                <w:bCs/>
                <w:color w:val="000000"/>
                <w:sz w:val="28"/>
                <w:szCs w:val="28"/>
              </w:rPr>
            </w:pPr>
            <w:r w:rsidRPr="007B69BD">
              <w:rPr>
                <w:rFonts w:ascii="Calibri" w:eastAsia="Times New Roman" w:hAnsi="Calibri" w:cs="Times New Roman"/>
                <w:b/>
                <w:bCs/>
                <w:color w:val="000000"/>
                <w:sz w:val="28"/>
                <w:szCs w:val="28"/>
              </w:rPr>
              <w:t>ΚΟΚΚΙΝΟ</w:t>
            </w:r>
          </w:p>
        </w:tc>
        <w:tc>
          <w:tcPr>
            <w:tcW w:w="1077" w:type="dxa"/>
            <w:tcBorders>
              <w:top w:val="nil"/>
              <w:left w:val="nil"/>
              <w:bottom w:val="single" w:sz="4" w:space="0" w:color="95B3D7"/>
              <w:right w:val="nil"/>
            </w:tcBorders>
            <w:shd w:val="clear" w:color="DBE5F1" w:fill="DBE5F1"/>
            <w:noWrap/>
            <w:vAlign w:val="bottom"/>
            <w:hideMark/>
          </w:tcPr>
          <w:p w:rsidR="008804D4" w:rsidRPr="007B69BD" w:rsidRDefault="008804D4" w:rsidP="00F12025">
            <w:pPr>
              <w:spacing w:after="0" w:line="240" w:lineRule="auto"/>
              <w:jc w:val="right"/>
              <w:rPr>
                <w:rFonts w:ascii="Calibri" w:eastAsia="Times New Roman" w:hAnsi="Calibri" w:cs="Times New Roman"/>
                <w:b/>
                <w:bCs/>
                <w:color w:val="000000"/>
                <w:sz w:val="28"/>
                <w:szCs w:val="28"/>
              </w:rPr>
            </w:pPr>
            <w:r w:rsidRPr="007B69BD">
              <w:rPr>
                <w:rFonts w:ascii="Calibri" w:eastAsia="Times New Roman" w:hAnsi="Calibri" w:cs="Times New Roman"/>
                <w:b/>
                <w:bCs/>
                <w:color w:val="000000"/>
                <w:sz w:val="28"/>
                <w:szCs w:val="28"/>
              </w:rPr>
              <w:t>%</w:t>
            </w:r>
          </w:p>
        </w:tc>
        <w:tc>
          <w:tcPr>
            <w:tcW w:w="1617" w:type="dxa"/>
            <w:tcBorders>
              <w:top w:val="nil"/>
              <w:left w:val="nil"/>
              <w:bottom w:val="single" w:sz="4" w:space="0" w:color="95B3D7"/>
              <w:right w:val="nil"/>
            </w:tcBorders>
            <w:shd w:val="clear" w:color="DBE5F1" w:fill="DBE5F1"/>
            <w:noWrap/>
            <w:vAlign w:val="bottom"/>
            <w:hideMark/>
          </w:tcPr>
          <w:p w:rsidR="008804D4" w:rsidRPr="007B69BD" w:rsidRDefault="008804D4" w:rsidP="00F12025">
            <w:pPr>
              <w:spacing w:after="0" w:line="240" w:lineRule="auto"/>
              <w:jc w:val="right"/>
              <w:rPr>
                <w:rFonts w:ascii="Calibri" w:eastAsia="Times New Roman" w:hAnsi="Calibri" w:cs="Times New Roman"/>
                <w:b/>
                <w:bCs/>
                <w:color w:val="000000"/>
                <w:sz w:val="28"/>
                <w:szCs w:val="28"/>
              </w:rPr>
            </w:pPr>
            <w:r w:rsidRPr="007B69BD">
              <w:rPr>
                <w:rFonts w:ascii="Calibri" w:eastAsia="Times New Roman" w:hAnsi="Calibri" w:cs="Times New Roman"/>
                <w:b/>
                <w:bCs/>
                <w:color w:val="000000"/>
                <w:sz w:val="28"/>
                <w:szCs w:val="28"/>
              </w:rPr>
              <w:t>ΠΡΑΣΙΝΟ</w:t>
            </w:r>
          </w:p>
        </w:tc>
        <w:tc>
          <w:tcPr>
            <w:tcW w:w="1077" w:type="dxa"/>
            <w:tcBorders>
              <w:top w:val="nil"/>
              <w:left w:val="nil"/>
              <w:bottom w:val="single" w:sz="4" w:space="0" w:color="95B3D7"/>
              <w:right w:val="nil"/>
            </w:tcBorders>
            <w:shd w:val="clear" w:color="DBE5F1" w:fill="DBE5F1"/>
            <w:noWrap/>
            <w:vAlign w:val="bottom"/>
            <w:hideMark/>
          </w:tcPr>
          <w:p w:rsidR="008804D4" w:rsidRPr="007B69BD" w:rsidRDefault="008804D4" w:rsidP="00F12025">
            <w:pPr>
              <w:spacing w:after="0" w:line="240" w:lineRule="auto"/>
              <w:jc w:val="right"/>
              <w:rPr>
                <w:rFonts w:ascii="Calibri" w:eastAsia="Times New Roman" w:hAnsi="Calibri" w:cs="Times New Roman"/>
                <w:b/>
                <w:bCs/>
                <w:color w:val="000000"/>
                <w:sz w:val="28"/>
                <w:szCs w:val="28"/>
              </w:rPr>
            </w:pPr>
            <w:r w:rsidRPr="007B69BD">
              <w:rPr>
                <w:rFonts w:ascii="Calibri" w:eastAsia="Times New Roman" w:hAnsi="Calibri" w:cs="Times New Roman"/>
                <w:b/>
                <w:bCs/>
                <w:color w:val="000000"/>
                <w:sz w:val="28"/>
                <w:szCs w:val="28"/>
              </w:rPr>
              <w:t>&amp;</w:t>
            </w:r>
          </w:p>
        </w:tc>
        <w:tc>
          <w:tcPr>
            <w:tcW w:w="1617" w:type="dxa"/>
            <w:tcBorders>
              <w:top w:val="nil"/>
              <w:left w:val="nil"/>
              <w:bottom w:val="single" w:sz="4" w:space="0" w:color="95B3D7"/>
              <w:right w:val="nil"/>
            </w:tcBorders>
            <w:shd w:val="clear" w:color="DBE5F1" w:fill="DBE5F1"/>
            <w:noWrap/>
            <w:vAlign w:val="bottom"/>
            <w:hideMark/>
          </w:tcPr>
          <w:p w:rsidR="008804D4" w:rsidRPr="007B69BD" w:rsidRDefault="008804D4" w:rsidP="00F12025">
            <w:pPr>
              <w:spacing w:after="0" w:line="240" w:lineRule="auto"/>
              <w:jc w:val="right"/>
              <w:rPr>
                <w:rFonts w:ascii="Calibri" w:eastAsia="Times New Roman" w:hAnsi="Calibri" w:cs="Times New Roman"/>
                <w:b/>
                <w:bCs/>
                <w:color w:val="000000"/>
                <w:sz w:val="28"/>
                <w:szCs w:val="28"/>
              </w:rPr>
            </w:pPr>
            <w:r w:rsidRPr="007B69BD">
              <w:rPr>
                <w:rFonts w:ascii="Calibri" w:eastAsia="Times New Roman" w:hAnsi="Calibri" w:cs="Times New Roman"/>
                <w:b/>
                <w:bCs/>
                <w:color w:val="000000"/>
                <w:sz w:val="28"/>
                <w:szCs w:val="28"/>
              </w:rPr>
              <w:t>Σύνολο</w:t>
            </w:r>
          </w:p>
        </w:tc>
        <w:tc>
          <w:tcPr>
            <w:tcW w:w="1104" w:type="dxa"/>
            <w:tcBorders>
              <w:top w:val="nil"/>
              <w:left w:val="nil"/>
              <w:bottom w:val="single" w:sz="4" w:space="0" w:color="95B3D7"/>
              <w:right w:val="nil"/>
            </w:tcBorders>
            <w:shd w:val="clear" w:color="DBE5F1" w:fill="DBE5F1"/>
            <w:noWrap/>
            <w:vAlign w:val="bottom"/>
            <w:hideMark/>
          </w:tcPr>
          <w:p w:rsidR="008804D4" w:rsidRPr="007B69BD" w:rsidRDefault="008804D4" w:rsidP="00F12025">
            <w:pPr>
              <w:spacing w:after="0" w:line="240" w:lineRule="auto"/>
              <w:jc w:val="right"/>
              <w:rPr>
                <w:rFonts w:ascii="Calibri" w:eastAsia="Times New Roman" w:hAnsi="Calibri" w:cs="Times New Roman"/>
                <w:b/>
                <w:bCs/>
                <w:color w:val="000000"/>
                <w:sz w:val="28"/>
                <w:szCs w:val="28"/>
              </w:rPr>
            </w:pPr>
            <w:r w:rsidRPr="007B69BD">
              <w:rPr>
                <w:rFonts w:ascii="Calibri" w:eastAsia="Times New Roman" w:hAnsi="Calibri" w:cs="Times New Roman"/>
                <w:b/>
                <w:bCs/>
                <w:color w:val="000000"/>
                <w:sz w:val="28"/>
                <w:szCs w:val="28"/>
              </w:rPr>
              <w:t>%</w:t>
            </w:r>
          </w:p>
        </w:tc>
        <w:tc>
          <w:tcPr>
            <w:tcW w:w="1014"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r>
      <w:tr w:rsidR="008804D4" w:rsidRPr="007B69BD" w:rsidTr="00F12025">
        <w:trPr>
          <w:trHeight w:val="346"/>
        </w:trPr>
        <w:tc>
          <w:tcPr>
            <w:tcW w:w="2926"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Σύνολο - ΙΘΑΚΗΣ</w:t>
            </w:r>
          </w:p>
        </w:tc>
        <w:tc>
          <w:tcPr>
            <w:tcW w:w="1617" w:type="dxa"/>
            <w:tcBorders>
              <w:top w:val="single" w:sz="4" w:space="0" w:color="4F81BD"/>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53</w:t>
            </w:r>
          </w:p>
        </w:tc>
        <w:tc>
          <w:tcPr>
            <w:tcW w:w="1077" w:type="dxa"/>
            <w:tcBorders>
              <w:top w:val="single" w:sz="4" w:space="0" w:color="4F81BD"/>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9,6%</w:t>
            </w:r>
          </w:p>
        </w:tc>
        <w:tc>
          <w:tcPr>
            <w:tcW w:w="1617" w:type="dxa"/>
            <w:tcBorders>
              <w:top w:val="single" w:sz="4" w:space="0" w:color="4F81BD"/>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5</w:t>
            </w:r>
          </w:p>
        </w:tc>
        <w:tc>
          <w:tcPr>
            <w:tcW w:w="1077" w:type="dxa"/>
            <w:tcBorders>
              <w:top w:val="single" w:sz="4" w:space="0" w:color="4F81BD"/>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7,4%</w:t>
            </w:r>
          </w:p>
        </w:tc>
        <w:tc>
          <w:tcPr>
            <w:tcW w:w="1617" w:type="dxa"/>
            <w:tcBorders>
              <w:top w:val="single" w:sz="4" w:space="0" w:color="4F81BD"/>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12</w:t>
            </w:r>
          </w:p>
        </w:tc>
        <w:tc>
          <w:tcPr>
            <w:tcW w:w="1077" w:type="dxa"/>
            <w:tcBorders>
              <w:top w:val="single" w:sz="4" w:space="0" w:color="4F81BD"/>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4,7%</w:t>
            </w:r>
          </w:p>
        </w:tc>
        <w:tc>
          <w:tcPr>
            <w:tcW w:w="1617" w:type="dxa"/>
            <w:tcBorders>
              <w:top w:val="single" w:sz="4" w:space="0" w:color="4F81BD"/>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b/>
                <w:bCs/>
                <w:color w:val="000000"/>
                <w:sz w:val="28"/>
                <w:szCs w:val="28"/>
              </w:rPr>
            </w:pPr>
            <w:r w:rsidRPr="007B69BD">
              <w:rPr>
                <w:rFonts w:ascii="Calibri" w:eastAsia="Times New Roman" w:hAnsi="Calibri" w:cs="Times New Roman"/>
                <w:b/>
                <w:bCs/>
                <w:color w:val="000000"/>
                <w:sz w:val="28"/>
                <w:szCs w:val="28"/>
              </w:rPr>
              <w:t>70</w:t>
            </w:r>
          </w:p>
        </w:tc>
        <w:tc>
          <w:tcPr>
            <w:tcW w:w="1104" w:type="dxa"/>
            <w:tcBorders>
              <w:top w:val="single" w:sz="4" w:space="0" w:color="4F81BD"/>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b/>
                <w:bCs/>
                <w:color w:val="000000"/>
                <w:sz w:val="28"/>
                <w:szCs w:val="28"/>
              </w:rPr>
            </w:pPr>
            <w:r w:rsidRPr="007B69BD">
              <w:rPr>
                <w:rFonts w:ascii="Calibri" w:eastAsia="Times New Roman" w:hAnsi="Calibri" w:cs="Times New Roman"/>
                <w:b/>
                <w:bCs/>
                <w:color w:val="000000"/>
                <w:sz w:val="28"/>
                <w:szCs w:val="28"/>
              </w:rPr>
              <w:t>8,0%</w:t>
            </w:r>
          </w:p>
        </w:tc>
        <w:tc>
          <w:tcPr>
            <w:tcW w:w="1014"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r>
      <w:tr w:rsidR="008804D4" w:rsidRPr="007B69BD" w:rsidTr="00F12025">
        <w:trPr>
          <w:trHeight w:val="346"/>
        </w:trPr>
        <w:tc>
          <w:tcPr>
            <w:tcW w:w="2926"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Σύνολο - ΚΕΦΑΛΟΝΙΑΣ</w:t>
            </w:r>
          </w:p>
        </w:tc>
        <w:tc>
          <w:tcPr>
            <w:tcW w:w="1617"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39</w:t>
            </w:r>
          </w:p>
        </w:tc>
        <w:tc>
          <w:tcPr>
            <w:tcW w:w="1077"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7,1%</w:t>
            </w:r>
          </w:p>
        </w:tc>
        <w:tc>
          <w:tcPr>
            <w:tcW w:w="1617"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10</w:t>
            </w:r>
          </w:p>
        </w:tc>
        <w:tc>
          <w:tcPr>
            <w:tcW w:w="1077"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14,7%</w:t>
            </w:r>
          </w:p>
        </w:tc>
        <w:tc>
          <w:tcPr>
            <w:tcW w:w="1617"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5</w:t>
            </w:r>
          </w:p>
        </w:tc>
        <w:tc>
          <w:tcPr>
            <w:tcW w:w="1077"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2,0%</w:t>
            </w:r>
          </w:p>
        </w:tc>
        <w:tc>
          <w:tcPr>
            <w:tcW w:w="1617"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b/>
                <w:bCs/>
                <w:color w:val="000000"/>
                <w:sz w:val="28"/>
                <w:szCs w:val="28"/>
              </w:rPr>
            </w:pPr>
            <w:r w:rsidRPr="007B69BD">
              <w:rPr>
                <w:rFonts w:ascii="Calibri" w:eastAsia="Times New Roman" w:hAnsi="Calibri" w:cs="Times New Roman"/>
                <w:b/>
                <w:bCs/>
                <w:color w:val="000000"/>
                <w:sz w:val="28"/>
                <w:szCs w:val="28"/>
              </w:rPr>
              <w:t>54</w:t>
            </w:r>
          </w:p>
        </w:tc>
        <w:tc>
          <w:tcPr>
            <w:tcW w:w="1104"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b/>
                <w:bCs/>
                <w:color w:val="000000"/>
                <w:sz w:val="28"/>
                <w:szCs w:val="28"/>
              </w:rPr>
            </w:pPr>
            <w:r w:rsidRPr="007B69BD">
              <w:rPr>
                <w:rFonts w:ascii="Calibri" w:eastAsia="Times New Roman" w:hAnsi="Calibri" w:cs="Times New Roman"/>
                <w:b/>
                <w:bCs/>
                <w:color w:val="000000"/>
                <w:sz w:val="28"/>
                <w:szCs w:val="28"/>
              </w:rPr>
              <w:t>6,2%</w:t>
            </w:r>
          </w:p>
        </w:tc>
        <w:tc>
          <w:tcPr>
            <w:tcW w:w="1014"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r>
      <w:tr w:rsidR="008804D4" w:rsidRPr="007B69BD" w:rsidTr="00F12025">
        <w:trPr>
          <w:trHeight w:val="346"/>
        </w:trPr>
        <w:tc>
          <w:tcPr>
            <w:tcW w:w="2926"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Σύνολο - ΛΕΥΚΑΔΑΣ</w:t>
            </w:r>
          </w:p>
        </w:tc>
        <w:tc>
          <w:tcPr>
            <w:tcW w:w="1617"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439</w:t>
            </w:r>
          </w:p>
        </w:tc>
        <w:tc>
          <w:tcPr>
            <w:tcW w:w="1077"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79,5%</w:t>
            </w:r>
          </w:p>
        </w:tc>
        <w:tc>
          <w:tcPr>
            <w:tcW w:w="1617"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53</w:t>
            </w:r>
          </w:p>
        </w:tc>
        <w:tc>
          <w:tcPr>
            <w:tcW w:w="1077"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77,9%</w:t>
            </w:r>
          </w:p>
        </w:tc>
        <w:tc>
          <w:tcPr>
            <w:tcW w:w="1617"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204</w:t>
            </w:r>
          </w:p>
        </w:tc>
        <w:tc>
          <w:tcPr>
            <w:tcW w:w="1077"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80,6%</w:t>
            </w:r>
          </w:p>
        </w:tc>
        <w:tc>
          <w:tcPr>
            <w:tcW w:w="1617"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b/>
                <w:bCs/>
                <w:color w:val="000000"/>
                <w:sz w:val="28"/>
                <w:szCs w:val="28"/>
              </w:rPr>
            </w:pPr>
            <w:r w:rsidRPr="007B69BD">
              <w:rPr>
                <w:rFonts w:ascii="Calibri" w:eastAsia="Times New Roman" w:hAnsi="Calibri" w:cs="Times New Roman"/>
                <w:b/>
                <w:bCs/>
                <w:color w:val="000000"/>
                <w:sz w:val="28"/>
                <w:szCs w:val="28"/>
              </w:rPr>
              <w:t>696</w:t>
            </w:r>
          </w:p>
        </w:tc>
        <w:tc>
          <w:tcPr>
            <w:tcW w:w="1104"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b/>
                <w:bCs/>
                <w:color w:val="000000"/>
                <w:sz w:val="28"/>
                <w:szCs w:val="28"/>
              </w:rPr>
            </w:pPr>
            <w:r w:rsidRPr="007B69BD">
              <w:rPr>
                <w:rFonts w:ascii="Calibri" w:eastAsia="Times New Roman" w:hAnsi="Calibri" w:cs="Times New Roman"/>
                <w:b/>
                <w:bCs/>
                <w:color w:val="000000"/>
                <w:sz w:val="28"/>
                <w:szCs w:val="28"/>
              </w:rPr>
              <w:t>79,7%</w:t>
            </w:r>
          </w:p>
        </w:tc>
        <w:tc>
          <w:tcPr>
            <w:tcW w:w="1014"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r>
      <w:tr w:rsidR="008804D4" w:rsidRPr="007B69BD" w:rsidTr="00F12025">
        <w:trPr>
          <w:trHeight w:val="346"/>
        </w:trPr>
        <w:tc>
          <w:tcPr>
            <w:tcW w:w="2926"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Σύνολο - ΠΡΕΒΕΖΗΣ</w:t>
            </w:r>
          </w:p>
        </w:tc>
        <w:tc>
          <w:tcPr>
            <w:tcW w:w="1617"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1</w:t>
            </w:r>
          </w:p>
        </w:tc>
        <w:tc>
          <w:tcPr>
            <w:tcW w:w="1077"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0,2%</w:t>
            </w:r>
          </w:p>
        </w:tc>
        <w:tc>
          <w:tcPr>
            <w:tcW w:w="1617"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0</w:t>
            </w:r>
          </w:p>
        </w:tc>
        <w:tc>
          <w:tcPr>
            <w:tcW w:w="1077"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0,0%</w:t>
            </w:r>
          </w:p>
        </w:tc>
        <w:tc>
          <w:tcPr>
            <w:tcW w:w="1617"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3</w:t>
            </w:r>
          </w:p>
        </w:tc>
        <w:tc>
          <w:tcPr>
            <w:tcW w:w="1077"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1,2%</w:t>
            </w:r>
          </w:p>
        </w:tc>
        <w:tc>
          <w:tcPr>
            <w:tcW w:w="1617"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b/>
                <w:bCs/>
                <w:color w:val="000000"/>
                <w:sz w:val="28"/>
                <w:szCs w:val="28"/>
              </w:rPr>
            </w:pPr>
            <w:r w:rsidRPr="007B69BD">
              <w:rPr>
                <w:rFonts w:ascii="Calibri" w:eastAsia="Times New Roman" w:hAnsi="Calibri" w:cs="Times New Roman"/>
                <w:b/>
                <w:bCs/>
                <w:color w:val="000000"/>
                <w:sz w:val="28"/>
                <w:szCs w:val="28"/>
              </w:rPr>
              <w:t>4</w:t>
            </w:r>
          </w:p>
        </w:tc>
        <w:tc>
          <w:tcPr>
            <w:tcW w:w="1104"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b/>
                <w:bCs/>
                <w:color w:val="000000"/>
                <w:sz w:val="28"/>
                <w:szCs w:val="28"/>
              </w:rPr>
            </w:pPr>
            <w:r w:rsidRPr="007B69BD">
              <w:rPr>
                <w:rFonts w:ascii="Calibri" w:eastAsia="Times New Roman" w:hAnsi="Calibri" w:cs="Times New Roman"/>
                <w:b/>
                <w:bCs/>
                <w:color w:val="000000"/>
                <w:sz w:val="28"/>
                <w:szCs w:val="28"/>
              </w:rPr>
              <w:t>0,5%</w:t>
            </w:r>
          </w:p>
        </w:tc>
        <w:tc>
          <w:tcPr>
            <w:tcW w:w="1014"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r>
      <w:tr w:rsidR="008804D4" w:rsidRPr="007B69BD" w:rsidTr="00F12025">
        <w:trPr>
          <w:trHeight w:val="346"/>
        </w:trPr>
        <w:tc>
          <w:tcPr>
            <w:tcW w:w="2926"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Σύνολο - ΑΚΤΙΟΥ-ΒΟΝΙΤΣΑΣ</w:t>
            </w:r>
          </w:p>
        </w:tc>
        <w:tc>
          <w:tcPr>
            <w:tcW w:w="1617"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14</w:t>
            </w:r>
          </w:p>
        </w:tc>
        <w:tc>
          <w:tcPr>
            <w:tcW w:w="1077"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2,5%</w:t>
            </w:r>
          </w:p>
        </w:tc>
        <w:tc>
          <w:tcPr>
            <w:tcW w:w="1617"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0</w:t>
            </w:r>
          </w:p>
        </w:tc>
        <w:tc>
          <w:tcPr>
            <w:tcW w:w="1077"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0,0%</w:t>
            </w:r>
          </w:p>
        </w:tc>
        <w:tc>
          <w:tcPr>
            <w:tcW w:w="1617"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22</w:t>
            </w:r>
          </w:p>
        </w:tc>
        <w:tc>
          <w:tcPr>
            <w:tcW w:w="1077"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8,7%</w:t>
            </w:r>
          </w:p>
        </w:tc>
        <w:tc>
          <w:tcPr>
            <w:tcW w:w="1617"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b/>
                <w:bCs/>
                <w:color w:val="000000"/>
                <w:sz w:val="28"/>
                <w:szCs w:val="28"/>
              </w:rPr>
            </w:pPr>
            <w:r w:rsidRPr="007B69BD">
              <w:rPr>
                <w:rFonts w:ascii="Calibri" w:eastAsia="Times New Roman" w:hAnsi="Calibri" w:cs="Times New Roman"/>
                <w:b/>
                <w:bCs/>
                <w:color w:val="000000"/>
                <w:sz w:val="28"/>
                <w:szCs w:val="28"/>
              </w:rPr>
              <w:t>36</w:t>
            </w:r>
          </w:p>
        </w:tc>
        <w:tc>
          <w:tcPr>
            <w:tcW w:w="1104"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b/>
                <w:bCs/>
                <w:color w:val="000000"/>
                <w:sz w:val="28"/>
                <w:szCs w:val="28"/>
              </w:rPr>
            </w:pPr>
            <w:r w:rsidRPr="007B69BD">
              <w:rPr>
                <w:rFonts w:ascii="Calibri" w:eastAsia="Times New Roman" w:hAnsi="Calibri" w:cs="Times New Roman"/>
                <w:b/>
                <w:bCs/>
                <w:color w:val="000000"/>
                <w:sz w:val="28"/>
                <w:szCs w:val="28"/>
              </w:rPr>
              <w:t>4,1%</w:t>
            </w:r>
          </w:p>
        </w:tc>
        <w:tc>
          <w:tcPr>
            <w:tcW w:w="1014"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r>
      <w:tr w:rsidR="008804D4" w:rsidRPr="007B69BD" w:rsidTr="00F12025">
        <w:trPr>
          <w:trHeight w:val="346"/>
        </w:trPr>
        <w:tc>
          <w:tcPr>
            <w:tcW w:w="2926"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Σύνολο - ΞΗΡΟΜΕΡΟΥ</w:t>
            </w:r>
          </w:p>
        </w:tc>
        <w:tc>
          <w:tcPr>
            <w:tcW w:w="1617"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6</w:t>
            </w:r>
          </w:p>
        </w:tc>
        <w:tc>
          <w:tcPr>
            <w:tcW w:w="1077"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1,1%</w:t>
            </w:r>
          </w:p>
        </w:tc>
        <w:tc>
          <w:tcPr>
            <w:tcW w:w="1617"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0</w:t>
            </w:r>
          </w:p>
        </w:tc>
        <w:tc>
          <w:tcPr>
            <w:tcW w:w="1077"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0,0%</w:t>
            </w:r>
          </w:p>
        </w:tc>
        <w:tc>
          <w:tcPr>
            <w:tcW w:w="1617"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7</w:t>
            </w:r>
          </w:p>
        </w:tc>
        <w:tc>
          <w:tcPr>
            <w:tcW w:w="1077"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2,8%</w:t>
            </w:r>
          </w:p>
        </w:tc>
        <w:tc>
          <w:tcPr>
            <w:tcW w:w="1617"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b/>
                <w:bCs/>
                <w:color w:val="000000"/>
                <w:sz w:val="28"/>
                <w:szCs w:val="28"/>
              </w:rPr>
            </w:pPr>
            <w:r w:rsidRPr="007B69BD">
              <w:rPr>
                <w:rFonts w:ascii="Calibri" w:eastAsia="Times New Roman" w:hAnsi="Calibri" w:cs="Times New Roman"/>
                <w:b/>
                <w:bCs/>
                <w:color w:val="000000"/>
                <w:sz w:val="28"/>
                <w:szCs w:val="28"/>
              </w:rPr>
              <w:t>13</w:t>
            </w:r>
          </w:p>
        </w:tc>
        <w:tc>
          <w:tcPr>
            <w:tcW w:w="1104" w:type="dxa"/>
            <w:tcBorders>
              <w:top w:val="nil"/>
              <w:left w:val="nil"/>
              <w:bottom w:val="single" w:sz="4" w:space="0" w:color="4F81BD"/>
              <w:right w:val="nil"/>
            </w:tcBorders>
            <w:shd w:val="clear" w:color="auto" w:fill="auto"/>
            <w:noWrap/>
            <w:vAlign w:val="bottom"/>
            <w:hideMark/>
          </w:tcPr>
          <w:p w:rsidR="008804D4" w:rsidRPr="007B69BD" w:rsidRDefault="008804D4" w:rsidP="00F12025">
            <w:pPr>
              <w:spacing w:after="0" w:line="240" w:lineRule="auto"/>
              <w:jc w:val="right"/>
              <w:rPr>
                <w:rFonts w:ascii="Calibri" w:eastAsia="Times New Roman" w:hAnsi="Calibri" w:cs="Times New Roman"/>
                <w:b/>
                <w:bCs/>
                <w:color w:val="000000"/>
                <w:sz w:val="28"/>
                <w:szCs w:val="28"/>
              </w:rPr>
            </w:pPr>
            <w:r w:rsidRPr="007B69BD">
              <w:rPr>
                <w:rFonts w:ascii="Calibri" w:eastAsia="Times New Roman" w:hAnsi="Calibri" w:cs="Times New Roman"/>
                <w:b/>
                <w:bCs/>
                <w:color w:val="000000"/>
                <w:sz w:val="28"/>
                <w:szCs w:val="28"/>
              </w:rPr>
              <w:t>1,5%</w:t>
            </w:r>
          </w:p>
        </w:tc>
        <w:tc>
          <w:tcPr>
            <w:tcW w:w="1014"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r>
      <w:tr w:rsidR="008804D4" w:rsidRPr="00AE0032" w:rsidTr="00F12025">
        <w:trPr>
          <w:trHeight w:val="346"/>
        </w:trPr>
        <w:tc>
          <w:tcPr>
            <w:tcW w:w="2926" w:type="dxa"/>
            <w:tcBorders>
              <w:top w:val="single" w:sz="4" w:space="0" w:color="95B3D7"/>
              <w:left w:val="nil"/>
              <w:bottom w:val="nil"/>
              <w:right w:val="nil"/>
            </w:tcBorders>
            <w:shd w:val="clear" w:color="DBE5F1" w:fill="DBE5F1"/>
            <w:noWrap/>
            <w:vAlign w:val="bottom"/>
            <w:hideMark/>
          </w:tcPr>
          <w:p w:rsidR="008804D4" w:rsidRPr="007B69BD" w:rsidRDefault="008804D4" w:rsidP="00F12025">
            <w:pPr>
              <w:spacing w:after="0" w:line="240" w:lineRule="auto"/>
              <w:rPr>
                <w:rFonts w:ascii="Calibri" w:eastAsia="Times New Roman" w:hAnsi="Calibri" w:cs="Times New Roman"/>
                <w:b/>
                <w:bCs/>
                <w:color w:val="000000"/>
                <w:sz w:val="28"/>
                <w:szCs w:val="28"/>
              </w:rPr>
            </w:pPr>
            <w:r w:rsidRPr="007B69BD">
              <w:rPr>
                <w:rFonts w:ascii="Calibri" w:eastAsia="Times New Roman" w:hAnsi="Calibri" w:cs="Times New Roman"/>
                <w:b/>
                <w:bCs/>
                <w:color w:val="000000"/>
                <w:sz w:val="28"/>
                <w:szCs w:val="28"/>
              </w:rPr>
              <w:t>Σύνολο</w:t>
            </w:r>
          </w:p>
        </w:tc>
        <w:tc>
          <w:tcPr>
            <w:tcW w:w="1617" w:type="dxa"/>
            <w:tcBorders>
              <w:top w:val="single" w:sz="4" w:space="0" w:color="95B3D7"/>
              <w:left w:val="nil"/>
              <w:bottom w:val="nil"/>
              <w:right w:val="nil"/>
            </w:tcBorders>
            <w:shd w:val="clear" w:color="DBE5F1" w:fill="DBE5F1"/>
            <w:noWrap/>
            <w:vAlign w:val="bottom"/>
            <w:hideMark/>
          </w:tcPr>
          <w:p w:rsidR="008804D4" w:rsidRPr="007B69BD" w:rsidRDefault="008804D4" w:rsidP="00F12025">
            <w:pPr>
              <w:spacing w:after="0" w:line="240" w:lineRule="auto"/>
              <w:jc w:val="right"/>
              <w:rPr>
                <w:rFonts w:ascii="Calibri" w:eastAsia="Times New Roman" w:hAnsi="Calibri" w:cs="Times New Roman"/>
                <w:b/>
                <w:bCs/>
                <w:color w:val="000000"/>
                <w:sz w:val="28"/>
                <w:szCs w:val="28"/>
              </w:rPr>
            </w:pPr>
            <w:r w:rsidRPr="007B69BD">
              <w:rPr>
                <w:rFonts w:ascii="Calibri" w:eastAsia="Times New Roman" w:hAnsi="Calibri" w:cs="Times New Roman"/>
                <w:b/>
                <w:bCs/>
                <w:color w:val="000000"/>
                <w:sz w:val="28"/>
                <w:szCs w:val="28"/>
              </w:rPr>
              <w:t>552</w:t>
            </w:r>
          </w:p>
        </w:tc>
        <w:tc>
          <w:tcPr>
            <w:tcW w:w="1077" w:type="dxa"/>
            <w:tcBorders>
              <w:top w:val="single" w:sz="4" w:space="0" w:color="95B3D7"/>
              <w:left w:val="nil"/>
              <w:bottom w:val="nil"/>
              <w:right w:val="nil"/>
            </w:tcBorders>
            <w:shd w:val="clear" w:color="DBE5F1" w:fill="DBE5F1"/>
            <w:noWrap/>
            <w:vAlign w:val="bottom"/>
            <w:hideMark/>
          </w:tcPr>
          <w:p w:rsidR="008804D4" w:rsidRPr="007B69BD" w:rsidRDefault="008804D4" w:rsidP="00F12025">
            <w:pPr>
              <w:spacing w:after="0" w:line="240" w:lineRule="auto"/>
              <w:jc w:val="right"/>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100,0%</w:t>
            </w:r>
          </w:p>
        </w:tc>
        <w:tc>
          <w:tcPr>
            <w:tcW w:w="1617" w:type="dxa"/>
            <w:tcBorders>
              <w:top w:val="single" w:sz="4" w:space="0" w:color="95B3D7"/>
              <w:left w:val="nil"/>
              <w:bottom w:val="nil"/>
              <w:right w:val="nil"/>
            </w:tcBorders>
            <w:shd w:val="clear" w:color="DBE5F1" w:fill="DBE5F1"/>
            <w:noWrap/>
            <w:vAlign w:val="bottom"/>
            <w:hideMark/>
          </w:tcPr>
          <w:p w:rsidR="008804D4" w:rsidRPr="007B69BD" w:rsidRDefault="008804D4" w:rsidP="00F12025">
            <w:pPr>
              <w:spacing w:after="0" w:line="240" w:lineRule="auto"/>
              <w:jc w:val="right"/>
              <w:rPr>
                <w:rFonts w:ascii="Calibri" w:eastAsia="Times New Roman" w:hAnsi="Calibri" w:cs="Times New Roman"/>
                <w:b/>
                <w:bCs/>
                <w:color w:val="000000"/>
                <w:sz w:val="28"/>
                <w:szCs w:val="28"/>
              </w:rPr>
            </w:pPr>
            <w:r w:rsidRPr="007B69BD">
              <w:rPr>
                <w:rFonts w:ascii="Calibri" w:eastAsia="Times New Roman" w:hAnsi="Calibri" w:cs="Times New Roman"/>
                <w:b/>
                <w:bCs/>
                <w:color w:val="000000"/>
                <w:sz w:val="28"/>
                <w:szCs w:val="28"/>
              </w:rPr>
              <w:t>68</w:t>
            </w:r>
          </w:p>
        </w:tc>
        <w:tc>
          <w:tcPr>
            <w:tcW w:w="1077" w:type="dxa"/>
            <w:tcBorders>
              <w:top w:val="single" w:sz="4" w:space="0" w:color="95B3D7"/>
              <w:left w:val="nil"/>
              <w:bottom w:val="nil"/>
              <w:right w:val="nil"/>
            </w:tcBorders>
            <w:shd w:val="clear" w:color="DBE5F1" w:fill="DBE5F1"/>
            <w:noWrap/>
            <w:vAlign w:val="bottom"/>
            <w:hideMark/>
          </w:tcPr>
          <w:p w:rsidR="008804D4" w:rsidRPr="007B69BD" w:rsidRDefault="008804D4" w:rsidP="00F12025">
            <w:pPr>
              <w:spacing w:after="0" w:line="240" w:lineRule="auto"/>
              <w:jc w:val="right"/>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100,0%</w:t>
            </w:r>
          </w:p>
        </w:tc>
        <w:tc>
          <w:tcPr>
            <w:tcW w:w="1617" w:type="dxa"/>
            <w:tcBorders>
              <w:top w:val="single" w:sz="4" w:space="0" w:color="95B3D7"/>
              <w:left w:val="nil"/>
              <w:bottom w:val="nil"/>
              <w:right w:val="nil"/>
            </w:tcBorders>
            <w:shd w:val="clear" w:color="DBE5F1" w:fill="DBE5F1"/>
            <w:noWrap/>
            <w:vAlign w:val="bottom"/>
            <w:hideMark/>
          </w:tcPr>
          <w:p w:rsidR="008804D4" w:rsidRPr="007B69BD" w:rsidRDefault="008804D4" w:rsidP="00F12025">
            <w:pPr>
              <w:spacing w:after="0" w:line="240" w:lineRule="auto"/>
              <w:jc w:val="right"/>
              <w:rPr>
                <w:rFonts w:ascii="Calibri" w:eastAsia="Times New Roman" w:hAnsi="Calibri" w:cs="Times New Roman"/>
                <w:b/>
                <w:bCs/>
                <w:color w:val="000000"/>
                <w:sz w:val="28"/>
                <w:szCs w:val="28"/>
              </w:rPr>
            </w:pPr>
            <w:r w:rsidRPr="007B69BD">
              <w:rPr>
                <w:rFonts w:ascii="Calibri" w:eastAsia="Times New Roman" w:hAnsi="Calibri" w:cs="Times New Roman"/>
                <w:b/>
                <w:bCs/>
                <w:color w:val="000000"/>
                <w:sz w:val="28"/>
                <w:szCs w:val="28"/>
              </w:rPr>
              <w:t>253</w:t>
            </w:r>
          </w:p>
        </w:tc>
        <w:tc>
          <w:tcPr>
            <w:tcW w:w="1077" w:type="dxa"/>
            <w:tcBorders>
              <w:top w:val="single" w:sz="4" w:space="0" w:color="95B3D7"/>
              <w:left w:val="nil"/>
              <w:bottom w:val="nil"/>
              <w:right w:val="nil"/>
            </w:tcBorders>
            <w:shd w:val="clear" w:color="DBE5F1" w:fill="DBE5F1"/>
            <w:noWrap/>
            <w:vAlign w:val="bottom"/>
            <w:hideMark/>
          </w:tcPr>
          <w:p w:rsidR="008804D4" w:rsidRPr="007B69BD" w:rsidRDefault="008804D4" w:rsidP="00F12025">
            <w:pPr>
              <w:spacing w:after="0" w:line="240" w:lineRule="auto"/>
              <w:jc w:val="right"/>
              <w:rPr>
                <w:rFonts w:ascii="Calibri" w:eastAsia="Times New Roman" w:hAnsi="Calibri" w:cs="Times New Roman"/>
                <w:color w:val="000000"/>
                <w:sz w:val="28"/>
                <w:szCs w:val="28"/>
              </w:rPr>
            </w:pPr>
            <w:r w:rsidRPr="007B69BD">
              <w:rPr>
                <w:rFonts w:ascii="Calibri" w:eastAsia="Times New Roman" w:hAnsi="Calibri" w:cs="Times New Roman"/>
                <w:color w:val="000000"/>
                <w:sz w:val="28"/>
                <w:szCs w:val="28"/>
              </w:rPr>
              <w:t>100,0%</w:t>
            </w:r>
          </w:p>
        </w:tc>
        <w:tc>
          <w:tcPr>
            <w:tcW w:w="1617" w:type="dxa"/>
            <w:tcBorders>
              <w:top w:val="single" w:sz="4" w:space="0" w:color="95B3D7"/>
              <w:left w:val="nil"/>
              <w:bottom w:val="nil"/>
              <w:right w:val="nil"/>
            </w:tcBorders>
            <w:shd w:val="clear" w:color="DBE5F1" w:fill="DBE5F1"/>
            <w:noWrap/>
            <w:vAlign w:val="bottom"/>
            <w:hideMark/>
          </w:tcPr>
          <w:p w:rsidR="008804D4" w:rsidRPr="007B69BD" w:rsidRDefault="008804D4" w:rsidP="00F12025">
            <w:pPr>
              <w:spacing w:after="0" w:line="240" w:lineRule="auto"/>
              <w:jc w:val="right"/>
              <w:rPr>
                <w:rFonts w:ascii="Calibri" w:eastAsia="Times New Roman" w:hAnsi="Calibri" w:cs="Times New Roman"/>
                <w:b/>
                <w:bCs/>
                <w:color w:val="000000"/>
                <w:sz w:val="28"/>
                <w:szCs w:val="28"/>
              </w:rPr>
            </w:pPr>
            <w:r w:rsidRPr="007B69BD">
              <w:rPr>
                <w:rFonts w:ascii="Calibri" w:eastAsia="Times New Roman" w:hAnsi="Calibri" w:cs="Times New Roman"/>
                <w:b/>
                <w:bCs/>
                <w:color w:val="000000"/>
                <w:sz w:val="28"/>
                <w:szCs w:val="28"/>
              </w:rPr>
              <w:t>873</w:t>
            </w:r>
          </w:p>
        </w:tc>
        <w:tc>
          <w:tcPr>
            <w:tcW w:w="1104" w:type="dxa"/>
            <w:tcBorders>
              <w:top w:val="single" w:sz="4" w:space="0" w:color="95B3D7"/>
              <w:left w:val="nil"/>
              <w:bottom w:val="nil"/>
              <w:right w:val="nil"/>
            </w:tcBorders>
            <w:shd w:val="clear" w:color="DBE5F1" w:fill="DBE5F1"/>
            <w:noWrap/>
            <w:vAlign w:val="bottom"/>
            <w:hideMark/>
          </w:tcPr>
          <w:p w:rsidR="008804D4" w:rsidRPr="007B69BD" w:rsidRDefault="008804D4" w:rsidP="00F12025">
            <w:pPr>
              <w:spacing w:after="0" w:line="240" w:lineRule="auto"/>
              <w:jc w:val="right"/>
              <w:rPr>
                <w:rFonts w:ascii="Calibri" w:eastAsia="Times New Roman" w:hAnsi="Calibri" w:cs="Times New Roman"/>
                <w:b/>
                <w:bCs/>
                <w:color w:val="000000"/>
                <w:sz w:val="28"/>
                <w:szCs w:val="28"/>
              </w:rPr>
            </w:pPr>
            <w:r w:rsidRPr="007B69BD">
              <w:rPr>
                <w:rFonts w:ascii="Calibri" w:eastAsia="Times New Roman" w:hAnsi="Calibri" w:cs="Times New Roman"/>
                <w:b/>
                <w:bCs/>
                <w:color w:val="000000"/>
                <w:sz w:val="28"/>
                <w:szCs w:val="28"/>
              </w:rPr>
              <w:t>100,00%</w:t>
            </w:r>
          </w:p>
        </w:tc>
        <w:tc>
          <w:tcPr>
            <w:tcW w:w="1014"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r>
      <w:tr w:rsidR="008804D4" w:rsidRPr="007B69BD" w:rsidTr="00F12025">
        <w:trPr>
          <w:trHeight w:val="329"/>
        </w:trPr>
        <w:tc>
          <w:tcPr>
            <w:tcW w:w="2926"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c>
          <w:tcPr>
            <w:tcW w:w="1617"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c>
          <w:tcPr>
            <w:tcW w:w="1077"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c>
          <w:tcPr>
            <w:tcW w:w="1617"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c>
          <w:tcPr>
            <w:tcW w:w="1077"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c>
          <w:tcPr>
            <w:tcW w:w="1617"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c>
          <w:tcPr>
            <w:tcW w:w="1077"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c>
          <w:tcPr>
            <w:tcW w:w="1617"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c>
          <w:tcPr>
            <w:tcW w:w="1104"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c>
          <w:tcPr>
            <w:tcW w:w="1014" w:type="dxa"/>
            <w:tcBorders>
              <w:top w:val="nil"/>
              <w:left w:val="nil"/>
              <w:bottom w:val="nil"/>
              <w:right w:val="nil"/>
            </w:tcBorders>
            <w:shd w:val="clear" w:color="auto" w:fill="auto"/>
            <w:noWrap/>
            <w:vAlign w:val="bottom"/>
            <w:hideMark/>
          </w:tcPr>
          <w:p w:rsidR="008804D4" w:rsidRPr="007B69BD" w:rsidRDefault="008804D4" w:rsidP="00F12025">
            <w:pPr>
              <w:spacing w:after="0" w:line="240" w:lineRule="auto"/>
              <w:rPr>
                <w:rFonts w:ascii="Calibri" w:eastAsia="Times New Roman" w:hAnsi="Calibri" w:cs="Times New Roman"/>
                <w:color w:val="000000"/>
                <w:sz w:val="28"/>
                <w:szCs w:val="28"/>
              </w:rPr>
            </w:pPr>
          </w:p>
        </w:tc>
      </w:tr>
    </w:tbl>
    <w:p w:rsidR="008804D4" w:rsidRPr="00AE0032" w:rsidRDefault="008804D4" w:rsidP="008804D4">
      <w:pPr>
        <w:rPr>
          <w:sz w:val="28"/>
          <w:szCs w:val="28"/>
        </w:rPr>
      </w:pPr>
    </w:p>
    <w:p w:rsidR="008804D4" w:rsidRPr="00AE0032" w:rsidRDefault="008804D4" w:rsidP="008804D4">
      <w:pPr>
        <w:rPr>
          <w:sz w:val="28"/>
          <w:szCs w:val="28"/>
        </w:rPr>
      </w:pPr>
    </w:p>
    <w:p w:rsidR="008804D4" w:rsidRPr="00AE0032" w:rsidRDefault="008804D4" w:rsidP="008804D4">
      <w:pPr>
        <w:rPr>
          <w:sz w:val="28"/>
          <w:szCs w:val="28"/>
        </w:rPr>
      </w:pPr>
    </w:p>
    <w:p w:rsidR="008804D4" w:rsidRPr="00AE0032" w:rsidRDefault="008804D4" w:rsidP="008804D4">
      <w:pPr>
        <w:rPr>
          <w:sz w:val="28"/>
          <w:szCs w:val="28"/>
        </w:rPr>
      </w:pPr>
    </w:p>
    <w:p w:rsidR="008804D4" w:rsidRDefault="008804D4" w:rsidP="008804D4"/>
    <w:p w:rsidR="008804D4" w:rsidRDefault="008804D4" w:rsidP="008804D4">
      <w:pPr>
        <w:jc w:val="center"/>
      </w:pPr>
      <w:r w:rsidRPr="00AE515C">
        <w:rPr>
          <w:noProof/>
          <w:color w:val="948A54" w:themeColor="background2" w:themeShade="80"/>
        </w:rPr>
        <w:drawing>
          <wp:inline distT="0" distB="0" distL="0" distR="0">
            <wp:extent cx="7560796" cy="4536141"/>
            <wp:effectExtent l="19050" t="0" r="21104" b="0"/>
            <wp:docPr id="2"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804D4" w:rsidRDefault="008804D4" w:rsidP="008804D4">
      <w:pPr>
        <w:jc w:val="center"/>
      </w:pPr>
    </w:p>
    <w:p w:rsidR="008804D4" w:rsidRDefault="008804D4" w:rsidP="008804D4">
      <w:pPr>
        <w:jc w:val="center"/>
      </w:pPr>
      <w:r w:rsidRPr="00AE515C">
        <w:rPr>
          <w:noProof/>
        </w:rPr>
        <w:lastRenderedPageBreak/>
        <w:drawing>
          <wp:inline distT="0" distB="0" distL="0" distR="0">
            <wp:extent cx="6847915" cy="4805082"/>
            <wp:effectExtent l="19050" t="0" r="10085" b="0"/>
            <wp:docPr id="5"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804D4" w:rsidRDefault="008804D4" w:rsidP="008804D4">
      <w:pPr>
        <w:jc w:val="center"/>
      </w:pPr>
    </w:p>
    <w:p w:rsidR="008804D4" w:rsidRDefault="008804D4" w:rsidP="008804D4">
      <w:pPr>
        <w:jc w:val="center"/>
        <w:rPr>
          <w:lang w:val="en-US"/>
        </w:rPr>
      </w:pPr>
      <w:r w:rsidRPr="00285749">
        <w:rPr>
          <w:noProof/>
        </w:rPr>
        <w:lastRenderedPageBreak/>
        <w:drawing>
          <wp:inline distT="0" distB="0" distL="0" distR="0">
            <wp:extent cx="7529232" cy="4858870"/>
            <wp:effectExtent l="19050" t="0" r="14568" b="0"/>
            <wp:docPr id="4" name="Γράφημα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804D4" w:rsidRDefault="008804D4" w:rsidP="008804D4">
      <w:pPr>
        <w:jc w:val="center"/>
        <w:rPr>
          <w:lang w:val="en-US"/>
        </w:rPr>
      </w:pPr>
    </w:p>
    <w:p w:rsidR="008804D4" w:rsidRPr="005430F7" w:rsidRDefault="008804D4" w:rsidP="008804D4">
      <w:pPr>
        <w:jc w:val="center"/>
      </w:pPr>
      <w:r w:rsidRPr="00B766F7">
        <w:rPr>
          <w:noProof/>
        </w:rPr>
        <w:lastRenderedPageBreak/>
        <w:drawing>
          <wp:inline distT="0" distB="0" distL="0" distR="0">
            <wp:extent cx="7128585" cy="4787153"/>
            <wp:effectExtent l="19050" t="0" r="15165" b="0"/>
            <wp:docPr id="3"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tab/>
      </w:r>
    </w:p>
    <w:p w:rsidR="008804D4" w:rsidRPr="009D0D7A" w:rsidRDefault="008804D4" w:rsidP="00EB4BF1">
      <w:pPr>
        <w:spacing w:after="120"/>
        <w:jc w:val="both"/>
        <w:rPr>
          <w:sz w:val="28"/>
          <w:szCs w:val="28"/>
        </w:rPr>
      </w:pPr>
    </w:p>
    <w:sectPr w:rsidR="008804D4" w:rsidRPr="009D0D7A" w:rsidSect="008804D4">
      <w:pgSz w:w="16838" w:h="11906" w:orient="landscape"/>
      <w:pgMar w:top="1797" w:right="1440" w:bottom="179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94882"/>
    <w:multiLevelType w:val="hybridMultilevel"/>
    <w:tmpl w:val="0E8A33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9C6045F"/>
    <w:multiLevelType w:val="hybridMultilevel"/>
    <w:tmpl w:val="45960B4A"/>
    <w:lvl w:ilvl="0" w:tplc="5164BF7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F5F45"/>
    <w:rsid w:val="00001972"/>
    <w:rsid w:val="00014985"/>
    <w:rsid w:val="00027DD5"/>
    <w:rsid w:val="000B1A8B"/>
    <w:rsid w:val="000B2EB3"/>
    <w:rsid w:val="000E0D39"/>
    <w:rsid w:val="000F1375"/>
    <w:rsid w:val="00125A2F"/>
    <w:rsid w:val="00126BAC"/>
    <w:rsid w:val="00127989"/>
    <w:rsid w:val="00141C90"/>
    <w:rsid w:val="00146002"/>
    <w:rsid w:val="00146DB4"/>
    <w:rsid w:val="00160F65"/>
    <w:rsid w:val="00161ECF"/>
    <w:rsid w:val="00180279"/>
    <w:rsid w:val="001B216C"/>
    <w:rsid w:val="001C274D"/>
    <w:rsid w:val="002141EE"/>
    <w:rsid w:val="002248B9"/>
    <w:rsid w:val="0023049D"/>
    <w:rsid w:val="00281807"/>
    <w:rsid w:val="002B6FC3"/>
    <w:rsid w:val="002C70FD"/>
    <w:rsid w:val="002D4E4A"/>
    <w:rsid w:val="002F5022"/>
    <w:rsid w:val="002F5F45"/>
    <w:rsid w:val="00302419"/>
    <w:rsid w:val="00310593"/>
    <w:rsid w:val="003158AF"/>
    <w:rsid w:val="00321035"/>
    <w:rsid w:val="00322B2A"/>
    <w:rsid w:val="0032572B"/>
    <w:rsid w:val="00345E17"/>
    <w:rsid w:val="003660B6"/>
    <w:rsid w:val="00370C4D"/>
    <w:rsid w:val="00372655"/>
    <w:rsid w:val="00372788"/>
    <w:rsid w:val="003A56F4"/>
    <w:rsid w:val="003C465A"/>
    <w:rsid w:val="003D7494"/>
    <w:rsid w:val="00416B29"/>
    <w:rsid w:val="00472C2D"/>
    <w:rsid w:val="004B6154"/>
    <w:rsid w:val="004B7194"/>
    <w:rsid w:val="004C5611"/>
    <w:rsid w:val="004D18A1"/>
    <w:rsid w:val="004F6754"/>
    <w:rsid w:val="004F7726"/>
    <w:rsid w:val="00501F7F"/>
    <w:rsid w:val="00542388"/>
    <w:rsid w:val="005865EA"/>
    <w:rsid w:val="00600D32"/>
    <w:rsid w:val="00617282"/>
    <w:rsid w:val="006255D4"/>
    <w:rsid w:val="00635199"/>
    <w:rsid w:val="00672661"/>
    <w:rsid w:val="006B33A2"/>
    <w:rsid w:val="00725EAE"/>
    <w:rsid w:val="00742612"/>
    <w:rsid w:val="00746E6E"/>
    <w:rsid w:val="007524DE"/>
    <w:rsid w:val="00783CA5"/>
    <w:rsid w:val="00790FF1"/>
    <w:rsid w:val="007B24F7"/>
    <w:rsid w:val="007D6692"/>
    <w:rsid w:val="00825343"/>
    <w:rsid w:val="00834AC6"/>
    <w:rsid w:val="008567A8"/>
    <w:rsid w:val="008804D4"/>
    <w:rsid w:val="00880C72"/>
    <w:rsid w:val="008D5E3C"/>
    <w:rsid w:val="009240B4"/>
    <w:rsid w:val="009379E0"/>
    <w:rsid w:val="009464CD"/>
    <w:rsid w:val="00961758"/>
    <w:rsid w:val="00983E20"/>
    <w:rsid w:val="0098712D"/>
    <w:rsid w:val="009A6487"/>
    <w:rsid w:val="009C7C2A"/>
    <w:rsid w:val="009D0D7A"/>
    <w:rsid w:val="009E78E3"/>
    <w:rsid w:val="00A03213"/>
    <w:rsid w:val="00A10B54"/>
    <w:rsid w:val="00A669DF"/>
    <w:rsid w:val="00AB0FF3"/>
    <w:rsid w:val="00AD0398"/>
    <w:rsid w:val="00B01BCC"/>
    <w:rsid w:val="00B10D25"/>
    <w:rsid w:val="00B11B56"/>
    <w:rsid w:val="00B14565"/>
    <w:rsid w:val="00B37470"/>
    <w:rsid w:val="00B46525"/>
    <w:rsid w:val="00B57CE6"/>
    <w:rsid w:val="00B63650"/>
    <w:rsid w:val="00B82AD6"/>
    <w:rsid w:val="00C2592A"/>
    <w:rsid w:val="00C429BC"/>
    <w:rsid w:val="00C4424B"/>
    <w:rsid w:val="00C47426"/>
    <w:rsid w:val="00C56A44"/>
    <w:rsid w:val="00C612E5"/>
    <w:rsid w:val="00CB0009"/>
    <w:rsid w:val="00CB6FF4"/>
    <w:rsid w:val="00CC326A"/>
    <w:rsid w:val="00CE75F2"/>
    <w:rsid w:val="00D26D10"/>
    <w:rsid w:val="00D425E5"/>
    <w:rsid w:val="00D60B6A"/>
    <w:rsid w:val="00D81360"/>
    <w:rsid w:val="00D82AEF"/>
    <w:rsid w:val="00DB0B28"/>
    <w:rsid w:val="00DC0FEA"/>
    <w:rsid w:val="00E50ABC"/>
    <w:rsid w:val="00EA08E8"/>
    <w:rsid w:val="00EB4BF1"/>
    <w:rsid w:val="00ED108C"/>
    <w:rsid w:val="00ED16EC"/>
    <w:rsid w:val="00EE22CA"/>
    <w:rsid w:val="00F035FF"/>
    <w:rsid w:val="00F36BE9"/>
    <w:rsid w:val="00F632F9"/>
    <w:rsid w:val="00F70471"/>
    <w:rsid w:val="00F711D8"/>
    <w:rsid w:val="00F93FD2"/>
    <w:rsid w:val="00FA1287"/>
    <w:rsid w:val="00FC371D"/>
    <w:rsid w:val="00FE79C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B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0D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8804D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804D4"/>
    <w:rPr>
      <w:rFonts w:ascii="Tahoma" w:hAnsi="Tahoma" w:cs="Tahoma"/>
      <w:sz w:val="16"/>
      <w:szCs w:val="16"/>
    </w:rPr>
  </w:style>
  <w:style w:type="paragraph" w:customStyle="1" w:styleId="1">
    <w:name w:val="Βασικό1"/>
    <w:rsid w:val="00C612E5"/>
    <w:pPr>
      <w:spacing w:after="0" w:line="240" w:lineRule="auto"/>
    </w:pPr>
    <w:rPr>
      <w:rFonts w:ascii="Times New Roman" w:eastAsia="Times New Roman" w:hAnsi="Times New Roman" w:cs="Times New Roman"/>
      <w:color w:val="000000"/>
      <w:sz w:val="24"/>
      <w:szCs w:val="24"/>
    </w:rPr>
  </w:style>
  <w:style w:type="paragraph" w:styleId="Web">
    <w:name w:val="Normal (Web)"/>
    <w:basedOn w:val="a"/>
    <w:uiPriority w:val="99"/>
    <w:semiHidden/>
    <w:unhideWhenUsed/>
    <w:rsid w:val="00783CA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83CA5"/>
    <w:rPr>
      <w:i/>
      <w:iCs/>
    </w:rPr>
  </w:style>
  <w:style w:type="paragraph" w:styleId="a6">
    <w:name w:val="List Paragraph"/>
    <w:basedOn w:val="a"/>
    <w:uiPriority w:val="34"/>
    <w:qFormat/>
    <w:rsid w:val="000B1A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0D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8804D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804D4"/>
    <w:rPr>
      <w:rFonts w:ascii="Tahoma" w:hAnsi="Tahoma" w:cs="Tahoma"/>
      <w:sz w:val="16"/>
      <w:szCs w:val="16"/>
    </w:rPr>
  </w:style>
  <w:style w:type="paragraph" w:customStyle="1" w:styleId="1">
    <w:name w:val="Βασικό1"/>
    <w:rsid w:val="00C612E5"/>
    <w:pPr>
      <w:spacing w:after="0" w:line="240" w:lineRule="auto"/>
    </w:pPr>
    <w:rPr>
      <w:rFonts w:ascii="Times New Roman" w:eastAsia="Times New Roman" w:hAnsi="Times New Roman" w:cs="Times New Roman"/>
      <w:color w:val="000000"/>
      <w:sz w:val="24"/>
      <w:szCs w:val="24"/>
    </w:rPr>
  </w:style>
  <w:style w:type="paragraph" w:styleId="Web">
    <w:name w:val="Normal (Web)"/>
    <w:basedOn w:val="a"/>
    <w:uiPriority w:val="99"/>
    <w:semiHidden/>
    <w:unhideWhenUsed/>
    <w:rsid w:val="00783CA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83CA5"/>
    <w:rPr>
      <w:i/>
      <w:iCs/>
    </w:rPr>
  </w:style>
</w:styles>
</file>

<file path=word/webSettings.xml><?xml version="1.0" encoding="utf-8"?>
<w:webSettings xmlns:r="http://schemas.openxmlformats.org/officeDocument/2006/relationships" xmlns:w="http://schemas.openxmlformats.org/wordprocessingml/2006/main">
  <w:divs>
    <w:div w:id="33239918">
      <w:bodyDiv w:val="1"/>
      <w:marLeft w:val="0"/>
      <w:marRight w:val="0"/>
      <w:marTop w:val="0"/>
      <w:marBottom w:val="0"/>
      <w:divBdr>
        <w:top w:val="none" w:sz="0" w:space="0" w:color="auto"/>
        <w:left w:val="none" w:sz="0" w:space="0" w:color="auto"/>
        <w:bottom w:val="none" w:sz="0" w:space="0" w:color="auto"/>
        <w:right w:val="none" w:sz="0" w:space="0" w:color="auto"/>
      </w:divBdr>
    </w:div>
    <w:div w:id="119866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or\Local%20Settings\temp\&#916;&#913;&#917;&#934;&#922;_&#928;&#927;&#931;&#927;&#931;&#932;&#913;_&#913;&#933;&#932;&#927;&#936;&#921;&#917;&#931;_&#931;&#917;&#921;&#931;&#924;&#927;&#931;_&#923;&#917;&#933;&#922;&#913;&#916;&#913;&#931;_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istrator\My%20Documents\Parliament%202016\08.%20&#932;&#927;&#928;&#921;&#922;&#913;%20&#920;&#917;&#924;&#913;&#932;&#913;\&#931;&#917;&#921;&#931;&#924;&#927;&#931;%2017%20&#925;&#927;&#917;&#924;&#914;&#929;&#921;&#927;&#933;%202015\&#916;&#913;&#917;&#934;&#922;_&#928;&#927;&#931;&#927;&#931;&#932;&#913;_&#913;&#933;&#932;&#927;&#936;&#921;&#917;&#931;_&#931;&#917;&#921;&#931;&#924;&#927;&#931;_&#923;&#917;&#933;&#922;&#913;&#916;&#913;&#931;_2015_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istrator\Local%20Settings\temp\&#916;&#913;&#917;&#934;&#922;_&#928;&#927;&#931;&#927;&#931;&#932;&#913;_&#913;&#933;&#932;&#927;&#936;&#921;&#917;&#931;_&#931;&#917;&#921;&#931;&#924;&#927;&#931;_&#923;&#917;&#933;&#922;&#913;&#916;&#913;&#931;_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istrator\Local%20Settings\temp\&#916;&#913;&#917;&#934;&#922;_&#928;&#927;&#931;&#927;&#931;&#932;&#913;_&#913;&#933;&#932;&#927;&#936;&#921;&#917;&#931;_&#931;&#917;&#921;&#931;&#924;&#927;&#931;_&#923;&#917;&#933;&#922;&#913;&#916;&#913;&#931;_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sz="2000"/>
            </a:pPr>
            <a:r>
              <a:rPr lang="el-GR" sz="2000" baseline="0"/>
              <a:t>Κατανομή των 68 "Κόκκινων" Κτιρίων</a:t>
            </a:r>
          </a:p>
          <a:p>
            <a:pPr>
              <a:defRPr sz="2000"/>
            </a:pPr>
            <a:r>
              <a:rPr lang="el-GR" sz="2000" baseline="0"/>
              <a:t>ανά περιοχή</a:t>
            </a:r>
            <a:endParaRPr lang="el-GR" sz="2000"/>
          </a:p>
        </c:rich>
      </c:tx>
      <c:layout>
        <c:manualLayout>
          <c:xMode val="edge"/>
          <c:yMode val="edge"/>
          <c:x val="0.21261978155368721"/>
          <c:y val="3.7898420838267E-2"/>
        </c:manualLayout>
      </c:layout>
    </c:title>
    <c:view3D>
      <c:rotX val="30"/>
      <c:perspective val="30"/>
    </c:view3D>
    <c:plotArea>
      <c:layout>
        <c:manualLayout>
          <c:layoutTarget val="inner"/>
          <c:xMode val="edge"/>
          <c:yMode val="edge"/>
          <c:x val="3.5532753527760487E-3"/>
          <c:y val="0.20218641274491853"/>
          <c:w val="0.62310515982708703"/>
          <c:h val="0.77317768561426969"/>
        </c:manualLayout>
      </c:layout>
      <c:pie3DChart>
        <c:varyColors val="1"/>
        <c:ser>
          <c:idx val="0"/>
          <c:order val="0"/>
          <c:explosion val="5"/>
          <c:dPt>
            <c:idx val="0"/>
            <c:spPr>
              <a:solidFill>
                <a:srgbClr val="00B0F0"/>
              </a:solidFill>
            </c:spPr>
          </c:dPt>
          <c:dPt>
            <c:idx val="1"/>
            <c:spPr>
              <a:solidFill>
                <a:srgbClr val="FF3399"/>
              </a:solidFill>
            </c:spPr>
          </c:dPt>
          <c:dPt>
            <c:idx val="2"/>
            <c:spPr>
              <a:solidFill>
                <a:srgbClr val="FF0000"/>
              </a:solidFill>
            </c:spPr>
          </c:dPt>
          <c:dLbls>
            <c:dLbl>
              <c:idx val="0"/>
              <c:layout>
                <c:manualLayout>
                  <c:x val="3.533662328675452E-2"/>
                  <c:y val="-8.9155076969609885E-3"/>
                </c:manualLayout>
              </c:layout>
              <c:tx>
                <c:rich>
                  <a:bodyPr/>
                  <a:lstStyle/>
                  <a:p>
                    <a:r>
                      <a:rPr lang="el-GR"/>
                      <a:t> 7%</a:t>
                    </a:r>
                    <a:r>
                      <a:rPr lang="el-GR" baseline="0"/>
                      <a:t> (5 ΚΤΙΡΙΑ)</a:t>
                    </a:r>
                    <a:endParaRPr lang="en-US"/>
                  </a:p>
                </c:rich>
              </c:tx>
              <c:showPercent val="1"/>
            </c:dLbl>
            <c:dLbl>
              <c:idx val="1"/>
              <c:layout>
                <c:manualLayout>
                  <c:x val="-0.15341175717477423"/>
                  <c:y val="6.4810595614201855E-2"/>
                </c:manualLayout>
              </c:layout>
              <c:tx>
                <c:rich>
                  <a:bodyPr/>
                  <a:lstStyle/>
                  <a:p>
                    <a:r>
                      <a:rPr lang="en-US"/>
                      <a:t>15%</a:t>
                    </a:r>
                    <a:r>
                      <a:rPr lang="el-GR"/>
                      <a:t> (10 ΚΤΙΡΙΑ)</a:t>
                    </a:r>
                    <a:endParaRPr lang="en-US"/>
                  </a:p>
                </c:rich>
              </c:tx>
              <c:showPercent val="1"/>
            </c:dLbl>
            <c:dLbl>
              <c:idx val="2"/>
              <c:layout>
                <c:manualLayout>
                  <c:x val="0.11996937882764655"/>
                  <c:y val="-0.23316929133858269"/>
                </c:manualLayout>
              </c:layout>
              <c:tx>
                <c:rich>
                  <a:bodyPr/>
                  <a:lstStyle/>
                  <a:p>
                    <a:r>
                      <a:rPr lang="en-US"/>
                      <a:t>78%</a:t>
                    </a:r>
                    <a:r>
                      <a:rPr lang="el-GR"/>
                      <a:t> (53 ΚΤΙΡΙΑ)</a:t>
                    </a:r>
                    <a:endParaRPr lang="en-US"/>
                  </a:p>
                </c:rich>
              </c:tx>
              <c:showPercent val="1"/>
            </c:dLbl>
            <c:dLbl>
              <c:idx val="3"/>
              <c:delete val="1"/>
            </c:dLbl>
            <c:txPr>
              <a:bodyPr/>
              <a:lstStyle/>
              <a:p>
                <a:pPr>
                  <a:defRPr sz="1400" b="1"/>
                </a:pPr>
                <a:endParaRPr lang="el-GR"/>
              </a:p>
            </c:txPr>
            <c:showPercent val="1"/>
            <c:showLeaderLines val="1"/>
          </c:dLbls>
          <c:cat>
            <c:strRef>
              <c:f>ΔΑΕΦΚ!$B$5:$B$10</c:f>
              <c:strCache>
                <c:ptCount val="6"/>
                <c:pt idx="0">
                  <c:v>Σύνολο - ΙΘΑΚΗΣ</c:v>
                </c:pt>
                <c:pt idx="1">
                  <c:v>Σύνολο - ΚΕΦΑΛΟΝΙΑΣ</c:v>
                </c:pt>
                <c:pt idx="2">
                  <c:v>Σύνολο - ΛΕΥΚΑΔΑΣ</c:v>
                </c:pt>
                <c:pt idx="3">
                  <c:v>Σύνολο - ΠΡΕΒΕΖΗΣ</c:v>
                </c:pt>
                <c:pt idx="4">
                  <c:v>Σύνολο - ΑΚΤΙΟΥ-ΒΟΝΙΤΣΑΣ</c:v>
                </c:pt>
                <c:pt idx="5">
                  <c:v>Σύνολο - ΞΗΡΟΜΕΡΟΥ</c:v>
                </c:pt>
              </c:strCache>
            </c:strRef>
          </c:cat>
          <c:val>
            <c:numRef>
              <c:f>ΔΑΕΦΚ!$E$5:$E$10</c:f>
              <c:numCache>
                <c:formatCode>General</c:formatCode>
                <c:ptCount val="6"/>
                <c:pt idx="0">
                  <c:v>5</c:v>
                </c:pt>
                <c:pt idx="1">
                  <c:v>10</c:v>
                </c:pt>
                <c:pt idx="2">
                  <c:v>53</c:v>
                </c:pt>
                <c:pt idx="3">
                  <c:v>0</c:v>
                </c:pt>
                <c:pt idx="4">
                  <c:v>0</c:v>
                </c:pt>
                <c:pt idx="5">
                  <c:v>0</c:v>
                </c:pt>
              </c:numCache>
            </c:numRef>
          </c:val>
        </c:ser>
        <c:dLbls>
          <c:showPercent val="1"/>
        </c:dLbls>
      </c:pie3DChart>
    </c:plotArea>
    <c:legend>
      <c:legendPos val="r"/>
      <c:legendEntry>
        <c:idx val="3"/>
        <c:delete val="1"/>
      </c:legendEntry>
      <c:layout>
        <c:manualLayout>
          <c:xMode val="edge"/>
          <c:yMode val="edge"/>
          <c:x val="0.61693462934688315"/>
          <c:y val="0.24368094711896221"/>
          <c:w val="0.37248818885555207"/>
          <c:h val="0.63133439830621196"/>
        </c:manualLayout>
      </c:layout>
      <c:txPr>
        <a:bodyPr/>
        <a:lstStyle/>
        <a:p>
          <a:pPr>
            <a:defRPr sz="1400" b="1"/>
          </a:pPr>
          <a:endParaRPr lang="el-GR"/>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a:pPr>
            <a:r>
              <a:rPr lang="el-GR" sz="2000" b="1" i="0" baseline="0"/>
              <a:t>Κατανομή των 552 "Κίτρινων" Κτιρίων</a:t>
            </a:r>
            <a:endParaRPr lang="el-GR" sz="2000"/>
          </a:p>
          <a:p>
            <a:pPr>
              <a:defRPr/>
            </a:pPr>
            <a:r>
              <a:rPr lang="el-GR" sz="2000" b="1" i="0" baseline="0"/>
              <a:t>ανά περιοχή</a:t>
            </a:r>
            <a:endParaRPr lang="el-GR" sz="2000"/>
          </a:p>
          <a:p>
            <a:pPr>
              <a:defRPr/>
            </a:pPr>
            <a:endParaRPr lang="el-GR"/>
          </a:p>
        </c:rich>
      </c:tx>
      <c:layout>
        <c:manualLayout>
          <c:xMode val="edge"/>
          <c:yMode val="edge"/>
          <c:x val="0.22715133000336596"/>
          <c:y val="1.3473235212219127E-3"/>
        </c:manualLayout>
      </c:layout>
    </c:title>
    <c:view3D>
      <c:rotX val="30"/>
      <c:perspective val="30"/>
    </c:view3D>
    <c:plotArea>
      <c:layout>
        <c:manualLayout>
          <c:layoutTarget val="inner"/>
          <c:xMode val="edge"/>
          <c:yMode val="edge"/>
          <c:x val="0"/>
          <c:y val="0.23542729289986403"/>
          <c:w val="0.68946898435509207"/>
          <c:h val="0.68151032594240513"/>
        </c:manualLayout>
      </c:layout>
      <c:pie3DChart>
        <c:varyColors val="1"/>
        <c:ser>
          <c:idx val="0"/>
          <c:order val="0"/>
          <c:explosion val="10"/>
          <c:dPt>
            <c:idx val="2"/>
            <c:spPr>
              <a:solidFill>
                <a:srgbClr val="FFFF00"/>
              </a:solidFill>
            </c:spPr>
          </c:dPt>
          <c:dLbls>
            <c:dLbl>
              <c:idx val="0"/>
              <c:layout>
                <c:manualLayout>
                  <c:x val="1.6239395494833105E-2"/>
                  <c:y val="-4.0754559443522506E-2"/>
                </c:manualLayout>
              </c:layout>
              <c:tx>
                <c:rich>
                  <a:bodyPr/>
                  <a:lstStyle/>
                  <a:p>
                    <a:r>
                      <a:rPr lang="en-US"/>
                      <a:t>10%</a:t>
                    </a:r>
                    <a:r>
                      <a:rPr lang="el-GR"/>
                      <a:t> (53 ΚΤΙΡΙΑ)</a:t>
                    </a:r>
                    <a:endParaRPr lang="en-US"/>
                  </a:p>
                </c:rich>
              </c:tx>
              <c:showPercent val="1"/>
            </c:dLbl>
            <c:dLbl>
              <c:idx val="1"/>
              <c:layout>
                <c:manualLayout>
                  <c:x val="-2.4306084406713582E-2"/>
                  <c:y val="-3.9382262363056447E-2"/>
                </c:manualLayout>
              </c:layout>
              <c:tx>
                <c:rich>
                  <a:bodyPr/>
                  <a:lstStyle/>
                  <a:p>
                    <a:r>
                      <a:rPr lang="en-US"/>
                      <a:t>7%</a:t>
                    </a:r>
                    <a:r>
                      <a:rPr lang="el-GR"/>
                      <a:t> (39 ΚΤΙΡΙΑ)</a:t>
                    </a:r>
                    <a:endParaRPr lang="en-US"/>
                  </a:p>
                </c:rich>
              </c:tx>
              <c:showPercent val="1"/>
            </c:dLbl>
            <c:dLbl>
              <c:idx val="2"/>
              <c:layout>
                <c:manualLayout>
                  <c:x val="0.14452530441747663"/>
                  <c:y val="-0.23799968450070236"/>
                </c:manualLayout>
              </c:layout>
              <c:tx>
                <c:rich>
                  <a:bodyPr/>
                  <a:lstStyle/>
                  <a:p>
                    <a:r>
                      <a:rPr lang="en-US"/>
                      <a:t>79%</a:t>
                    </a:r>
                    <a:r>
                      <a:rPr lang="el-GR"/>
                      <a:t> (439 ΚΤΙΡΙΑ)</a:t>
                    </a:r>
                    <a:endParaRPr lang="en-US"/>
                  </a:p>
                </c:rich>
              </c:tx>
              <c:showPercent val="1"/>
            </c:dLbl>
            <c:dLbl>
              <c:idx val="3"/>
              <c:layout>
                <c:manualLayout>
                  <c:x val="-5.8673964693372466E-2"/>
                  <c:y val="4.8042437318286363E-2"/>
                </c:manualLayout>
              </c:layout>
              <c:showPercent val="1"/>
            </c:dLbl>
            <c:dLbl>
              <c:idx val="4"/>
              <c:layout>
                <c:manualLayout>
                  <c:x val="-5.6887242321202867E-2"/>
                  <c:y val="-5.7903070124505872E-2"/>
                </c:manualLayout>
              </c:layout>
              <c:tx>
                <c:rich>
                  <a:bodyPr/>
                  <a:lstStyle/>
                  <a:p>
                    <a:r>
                      <a:rPr lang="en-US"/>
                      <a:t>3%</a:t>
                    </a:r>
                    <a:r>
                      <a:rPr lang="el-GR"/>
                      <a:t> (14 ΚΤΙΡΙΑ)</a:t>
                    </a:r>
                    <a:endParaRPr lang="en-US"/>
                  </a:p>
                </c:rich>
              </c:tx>
              <c:showPercent val="1"/>
            </c:dLbl>
            <c:dLbl>
              <c:idx val="5"/>
              <c:layout>
                <c:manualLayout>
                  <c:x val="4.3601300541843774E-2"/>
                  <c:y val="-3.5545699324173882E-2"/>
                </c:manualLayout>
              </c:layout>
              <c:tx>
                <c:rich>
                  <a:bodyPr/>
                  <a:lstStyle/>
                  <a:p>
                    <a:r>
                      <a:rPr lang="el-GR"/>
                      <a:t>1%</a:t>
                    </a:r>
                    <a:r>
                      <a:rPr lang="el-GR" baseline="0"/>
                      <a:t> (6 ΚΤΙΡΙΑ)</a:t>
                    </a:r>
                    <a:endParaRPr lang="en-US"/>
                  </a:p>
                </c:rich>
              </c:tx>
              <c:showPercent val="1"/>
            </c:dLbl>
            <c:txPr>
              <a:bodyPr/>
              <a:lstStyle/>
              <a:p>
                <a:pPr>
                  <a:defRPr sz="1400" b="1"/>
                </a:pPr>
                <a:endParaRPr lang="el-GR"/>
              </a:p>
            </c:txPr>
            <c:showPercent val="1"/>
            <c:showLeaderLines val="1"/>
          </c:dLbls>
          <c:cat>
            <c:strRef>
              <c:f>ΔΑΕΦΚ!$B$5:$B$10</c:f>
              <c:strCache>
                <c:ptCount val="6"/>
                <c:pt idx="0">
                  <c:v>Σύνολο - ΙΘΑΚΗΣ</c:v>
                </c:pt>
                <c:pt idx="1">
                  <c:v>Σύνολο - ΚΕΦΑΛΟΝΙΑΣ</c:v>
                </c:pt>
                <c:pt idx="2">
                  <c:v>Σύνολο - ΛΕΥΚΑΔΑΣ</c:v>
                </c:pt>
                <c:pt idx="3">
                  <c:v>Σύνολο - ΠΡΕΒΕΖΗΣ</c:v>
                </c:pt>
                <c:pt idx="4">
                  <c:v>Σύνολο - ΑΚΤΙΟΥ-ΒΟΝΙΤΣΑΣ</c:v>
                </c:pt>
                <c:pt idx="5">
                  <c:v>Σύνολο - ΞΗΡΟΜΕΡΟΥ</c:v>
                </c:pt>
              </c:strCache>
            </c:strRef>
          </c:cat>
          <c:val>
            <c:numRef>
              <c:f>ΔΑΕΦΚ!$C$5:$C$10</c:f>
              <c:numCache>
                <c:formatCode>General</c:formatCode>
                <c:ptCount val="6"/>
                <c:pt idx="0">
                  <c:v>53</c:v>
                </c:pt>
                <c:pt idx="1">
                  <c:v>39</c:v>
                </c:pt>
                <c:pt idx="2">
                  <c:v>439</c:v>
                </c:pt>
                <c:pt idx="3">
                  <c:v>1</c:v>
                </c:pt>
                <c:pt idx="4">
                  <c:v>14</c:v>
                </c:pt>
                <c:pt idx="5">
                  <c:v>6</c:v>
                </c:pt>
              </c:numCache>
            </c:numRef>
          </c:val>
        </c:ser>
        <c:dLbls>
          <c:showPercent val="1"/>
        </c:dLbls>
      </c:pie3DChart>
    </c:plotArea>
    <c:legend>
      <c:legendPos val="r"/>
      <c:legendEntry>
        <c:idx val="3"/>
        <c:delete val="1"/>
      </c:legendEntry>
      <c:layout>
        <c:manualLayout>
          <c:xMode val="edge"/>
          <c:yMode val="edge"/>
          <c:x val="0.64817145072624294"/>
          <c:y val="0.34155442092351385"/>
          <c:w val="0.32771904988794276"/>
          <c:h val="0.57615568545735052"/>
        </c:manualLayout>
      </c:layout>
      <c:txPr>
        <a:bodyPr/>
        <a:lstStyle/>
        <a:p>
          <a:pPr>
            <a:defRPr sz="1400" b="1"/>
          </a:pPr>
          <a:endParaRPr lang="el-GR"/>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2000" b="1" i="0" u="none" strike="noStrike" kern="1200" baseline="0">
                <a:solidFill>
                  <a:sysClr val="windowText" lastClr="000000"/>
                </a:solidFill>
                <a:latin typeface="+mn-lt"/>
                <a:ea typeface="+mn-ea"/>
                <a:cs typeface="+mn-cs"/>
              </a:defRPr>
            </a:pPr>
            <a:r>
              <a:rPr lang="el-GR" sz="2000" baseline="0"/>
              <a:t>Κατανομή των 253 "Πράσινων" Κτιρίων </a:t>
            </a:r>
          </a:p>
          <a:p>
            <a:pPr marL="0" marR="0" indent="0" algn="ctr" defTabSz="914400" rtl="0" eaLnBrk="1" fontAlgn="auto" latinLnBrk="0" hangingPunct="1">
              <a:lnSpc>
                <a:spcPct val="100000"/>
              </a:lnSpc>
              <a:spcBef>
                <a:spcPts val="0"/>
              </a:spcBef>
              <a:spcAft>
                <a:spcPts val="0"/>
              </a:spcAft>
              <a:buClrTx/>
              <a:buSzTx/>
              <a:buFontTx/>
              <a:buNone/>
              <a:tabLst/>
              <a:defRPr sz="2000" b="1" i="0" u="none" strike="noStrike" kern="1200" baseline="0">
                <a:solidFill>
                  <a:sysClr val="windowText" lastClr="000000"/>
                </a:solidFill>
                <a:latin typeface="+mn-lt"/>
                <a:ea typeface="+mn-ea"/>
                <a:cs typeface="+mn-cs"/>
              </a:defRPr>
            </a:pPr>
            <a:r>
              <a:rPr lang="el-GR" sz="2000" b="1" i="0" baseline="0"/>
              <a:t>ανά περιοχή</a:t>
            </a:r>
            <a:endParaRPr lang="el-GR" sz="2000"/>
          </a:p>
        </c:rich>
      </c:tx>
    </c:title>
    <c:view3D>
      <c:rotX val="30"/>
      <c:perspective val="30"/>
    </c:view3D>
    <c:plotArea>
      <c:layout>
        <c:manualLayout>
          <c:layoutTarget val="inner"/>
          <c:xMode val="edge"/>
          <c:yMode val="edge"/>
          <c:x val="1.4130259234939261E-3"/>
          <c:y val="0.1323196545698897"/>
          <c:w val="0.69840483066533265"/>
          <c:h val="0.84645792128622321"/>
        </c:manualLayout>
      </c:layout>
      <c:pie3DChart>
        <c:varyColors val="1"/>
        <c:ser>
          <c:idx val="0"/>
          <c:order val="0"/>
          <c:explosion val="22"/>
          <c:dPt>
            <c:idx val="2"/>
            <c:explosion val="17"/>
          </c:dPt>
          <c:dLbls>
            <c:dLbl>
              <c:idx val="0"/>
              <c:layout>
                <c:manualLayout>
                  <c:x val="-2.5816710123954326E-3"/>
                  <c:y val="7.7170206241368904E-3"/>
                </c:manualLayout>
              </c:layout>
              <c:tx>
                <c:rich>
                  <a:bodyPr/>
                  <a:lstStyle/>
                  <a:p>
                    <a:r>
                      <a:rPr lang="en-US"/>
                      <a:t>5</a:t>
                    </a:r>
                    <a:r>
                      <a:rPr lang="el-GR"/>
                      <a:t>%</a:t>
                    </a:r>
                    <a:r>
                      <a:rPr lang="el-GR" baseline="0"/>
                      <a:t> (12 ΚΤΙΡΙΑ)</a:t>
                    </a:r>
                    <a:endParaRPr lang="en-US"/>
                  </a:p>
                </c:rich>
              </c:tx>
              <c:showPercent val="1"/>
            </c:dLbl>
            <c:dLbl>
              <c:idx val="1"/>
              <c:layout>
                <c:manualLayout>
                  <c:x val="1.4702163514153901E-2"/>
                  <c:y val="5.6185491688396733E-2"/>
                </c:manualLayout>
              </c:layout>
              <c:tx>
                <c:rich>
                  <a:bodyPr/>
                  <a:lstStyle/>
                  <a:p>
                    <a:r>
                      <a:rPr lang="el-GR"/>
                      <a:t>2% (5 ΚΤΙΡΙΑ)</a:t>
                    </a:r>
                    <a:endParaRPr lang="en-US"/>
                  </a:p>
                </c:rich>
              </c:tx>
              <c:showPercent val="1"/>
            </c:dLbl>
            <c:dLbl>
              <c:idx val="2"/>
              <c:layout>
                <c:manualLayout>
                  <c:x val="-0.13300792165787959"/>
                  <c:y val="-0.24540705966613699"/>
                </c:manualLayout>
              </c:layout>
              <c:tx>
                <c:rich>
                  <a:bodyPr/>
                  <a:lstStyle/>
                  <a:p>
                    <a:r>
                      <a:rPr lang="en-US"/>
                      <a:t>80%</a:t>
                    </a:r>
                    <a:r>
                      <a:rPr lang="el-GR"/>
                      <a:t> (204 ΚΤΙΡΙΑ)</a:t>
                    </a:r>
                    <a:endParaRPr lang="en-US"/>
                  </a:p>
                </c:rich>
              </c:tx>
              <c:showPercent val="1"/>
            </c:dLbl>
            <c:dLbl>
              <c:idx val="3"/>
              <c:delete val="1"/>
            </c:dLbl>
            <c:dLbl>
              <c:idx val="4"/>
              <c:layout>
                <c:manualLayout>
                  <c:x val="2.810180374306441E-2"/>
                  <c:y val="4.8383677686375734E-3"/>
                </c:manualLayout>
              </c:layout>
              <c:tx>
                <c:rich>
                  <a:bodyPr/>
                  <a:lstStyle/>
                  <a:p>
                    <a:r>
                      <a:rPr lang="el-GR"/>
                      <a:t>9%</a:t>
                    </a:r>
                    <a:r>
                      <a:rPr lang="el-GR" baseline="0"/>
                      <a:t> (22 ΚΤΙΡΙΑ)</a:t>
                    </a:r>
                    <a:endParaRPr lang="en-US"/>
                  </a:p>
                </c:rich>
              </c:tx>
              <c:showPercent val="1"/>
            </c:dLbl>
            <c:dLbl>
              <c:idx val="5"/>
              <c:layout>
                <c:manualLayout>
                  <c:x val="1.2000559950868869E-2"/>
                  <c:y val="-2.2605667572913265E-2"/>
                </c:manualLayout>
              </c:layout>
              <c:tx>
                <c:rich>
                  <a:bodyPr/>
                  <a:lstStyle/>
                  <a:p>
                    <a:r>
                      <a:rPr lang="en-US"/>
                      <a:t>3</a:t>
                    </a:r>
                    <a:r>
                      <a:rPr lang="el-GR"/>
                      <a:t>% (7 ΚΤΙΡΙΑ)</a:t>
                    </a:r>
                    <a:endParaRPr lang="en-US"/>
                  </a:p>
                </c:rich>
              </c:tx>
              <c:showPercent val="1"/>
            </c:dLbl>
            <c:txPr>
              <a:bodyPr/>
              <a:lstStyle/>
              <a:p>
                <a:pPr>
                  <a:defRPr sz="1400" b="1"/>
                </a:pPr>
                <a:endParaRPr lang="el-GR"/>
              </a:p>
            </c:txPr>
            <c:showPercent val="1"/>
          </c:dLbls>
          <c:cat>
            <c:strRef>
              <c:f>ΔΑΕΦΚ!$B$5:$B$10</c:f>
              <c:strCache>
                <c:ptCount val="6"/>
                <c:pt idx="0">
                  <c:v>Σύνολο - ΙΘΑΚΗΣ</c:v>
                </c:pt>
                <c:pt idx="1">
                  <c:v>Σύνολο - ΚΕΦΑΛΟΝΙΑΣ</c:v>
                </c:pt>
                <c:pt idx="2">
                  <c:v>Σύνολο - ΛΕΥΚΑΔΑΣ</c:v>
                </c:pt>
                <c:pt idx="3">
                  <c:v>Σύνολο - ΠΡΕΒΕΖΗΣ</c:v>
                </c:pt>
                <c:pt idx="4">
                  <c:v>Σύνολο - ΑΚΤΙΟΥ-ΒΟΝΙΤΣΑΣ</c:v>
                </c:pt>
                <c:pt idx="5">
                  <c:v>Σύνολο - ΞΗΡΟΜΕΡΟΥ</c:v>
                </c:pt>
              </c:strCache>
            </c:strRef>
          </c:cat>
          <c:val>
            <c:numRef>
              <c:f>ΔΑΕΦΚ!$G$5:$G$10</c:f>
              <c:numCache>
                <c:formatCode>General</c:formatCode>
                <c:ptCount val="6"/>
                <c:pt idx="0">
                  <c:v>12</c:v>
                </c:pt>
                <c:pt idx="1">
                  <c:v>5</c:v>
                </c:pt>
                <c:pt idx="2">
                  <c:v>204</c:v>
                </c:pt>
                <c:pt idx="3">
                  <c:v>3</c:v>
                </c:pt>
                <c:pt idx="4">
                  <c:v>22</c:v>
                </c:pt>
                <c:pt idx="5">
                  <c:v>7</c:v>
                </c:pt>
              </c:numCache>
            </c:numRef>
          </c:val>
        </c:ser>
        <c:dLbls>
          <c:showPercent val="1"/>
        </c:dLbls>
      </c:pie3DChart>
    </c:plotArea>
    <c:legend>
      <c:legendPos val="r"/>
      <c:legendEntry>
        <c:idx val="3"/>
        <c:delete val="1"/>
      </c:legendEntry>
      <c:layout>
        <c:manualLayout>
          <c:xMode val="edge"/>
          <c:yMode val="edge"/>
          <c:x val="0.68304434530540081"/>
          <c:y val="0.21421678607125644"/>
          <c:w val="0.3169556546945993"/>
          <c:h val="0.55195248413922549"/>
        </c:manualLayout>
      </c:layout>
      <c:txPr>
        <a:bodyPr/>
        <a:lstStyle/>
        <a:p>
          <a:pPr>
            <a:defRPr sz="1400" b="1"/>
          </a:pPr>
          <a:endParaRPr lang="el-GR"/>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a:pPr>
            <a:r>
              <a:rPr lang="el-GR" sz="2000"/>
              <a:t>Κατανομή</a:t>
            </a:r>
            <a:r>
              <a:rPr lang="el-GR" sz="2000" baseline="0"/>
              <a:t> χ</a:t>
            </a:r>
            <a:r>
              <a:rPr lang="el-GR" sz="2000"/>
              <a:t>αρακτηρισμού</a:t>
            </a:r>
            <a:r>
              <a:rPr lang="en-US" sz="2000"/>
              <a:t> </a:t>
            </a:r>
            <a:r>
              <a:rPr lang="el-GR" sz="2000"/>
              <a:t>των 696</a:t>
            </a:r>
            <a:r>
              <a:rPr lang="en-US" sz="2000"/>
              <a:t> </a:t>
            </a:r>
            <a:r>
              <a:rPr lang="el-GR" sz="2000" baseline="0"/>
              <a:t>Κτιρίων </a:t>
            </a:r>
          </a:p>
          <a:p>
            <a:pPr>
              <a:defRPr/>
            </a:pPr>
            <a:r>
              <a:rPr lang="el-GR" sz="2000" baseline="0"/>
              <a:t>που ελέχθηκαν</a:t>
            </a:r>
            <a:r>
              <a:rPr lang="en-US" sz="2000"/>
              <a:t> </a:t>
            </a:r>
            <a:r>
              <a:rPr lang="el-GR" sz="2000"/>
              <a:t>στη ΛΕΥΚΑΔΑ</a:t>
            </a:r>
          </a:p>
        </c:rich>
      </c:tx>
      <c:layout>
        <c:manualLayout>
          <c:xMode val="edge"/>
          <c:yMode val="edge"/>
          <c:x val="0.19223618712549637"/>
          <c:y val="4.3468633653447303E-2"/>
        </c:manualLayout>
      </c:layout>
    </c:title>
    <c:view3D>
      <c:rotX val="30"/>
      <c:perspective val="30"/>
    </c:view3D>
    <c:plotArea>
      <c:layout>
        <c:manualLayout>
          <c:layoutTarget val="inner"/>
          <c:xMode val="edge"/>
          <c:yMode val="edge"/>
          <c:x val="0"/>
          <c:y val="0.19925830655506596"/>
          <c:w val="0.77949775446319713"/>
          <c:h val="0.7607596832605984"/>
        </c:manualLayout>
      </c:layout>
      <c:pie3DChart>
        <c:varyColors val="1"/>
        <c:ser>
          <c:idx val="0"/>
          <c:order val="0"/>
          <c:dPt>
            <c:idx val="0"/>
            <c:explosion val="5"/>
            <c:spPr>
              <a:solidFill>
                <a:srgbClr val="FFFF00"/>
              </a:solidFill>
            </c:spPr>
          </c:dPt>
          <c:dPt>
            <c:idx val="1"/>
            <c:explosion val="5"/>
            <c:spPr>
              <a:solidFill>
                <a:srgbClr val="FF0000"/>
              </a:solidFill>
            </c:spPr>
          </c:dPt>
          <c:dPt>
            <c:idx val="2"/>
            <c:explosion val="6"/>
            <c:spPr>
              <a:solidFill>
                <a:srgbClr val="00B050"/>
              </a:solidFill>
            </c:spPr>
          </c:dPt>
          <c:dLbls>
            <c:dLbl>
              <c:idx val="0"/>
              <c:layout>
                <c:manualLayout>
                  <c:x val="-0.29829734793090085"/>
                  <c:y val="-0.11708608435953478"/>
                </c:manualLayout>
              </c:layout>
              <c:tx>
                <c:rich>
                  <a:bodyPr/>
                  <a:lstStyle/>
                  <a:p>
                    <a:r>
                      <a:rPr lang="en-US"/>
                      <a:t>63,1%</a:t>
                    </a:r>
                    <a:r>
                      <a:rPr lang="el-GR"/>
                      <a:t> </a:t>
                    </a:r>
                  </a:p>
                  <a:p>
                    <a:r>
                      <a:rPr lang="el-GR"/>
                      <a:t>(439 ΚΤΙΡΙΑ)</a:t>
                    </a:r>
                    <a:endParaRPr lang="en-US"/>
                  </a:p>
                </c:rich>
              </c:tx>
              <c:showVal val="1"/>
            </c:dLbl>
            <c:dLbl>
              <c:idx val="1"/>
              <c:layout>
                <c:manualLayout>
                  <c:x val="3.7247784798806492E-2"/>
                  <c:y val="-0.15574413435292461"/>
                </c:manualLayout>
              </c:layout>
              <c:tx>
                <c:rich>
                  <a:bodyPr/>
                  <a:lstStyle/>
                  <a:p>
                    <a:r>
                      <a:rPr lang="en-US"/>
                      <a:t>7,6%</a:t>
                    </a:r>
                    <a:r>
                      <a:rPr lang="el-GR"/>
                      <a:t> </a:t>
                    </a:r>
                  </a:p>
                  <a:p>
                    <a:r>
                      <a:rPr lang="el-GR"/>
                      <a:t>(53 ΚΤΙΡΙΑ)</a:t>
                    </a:r>
                    <a:endParaRPr lang="en-US"/>
                  </a:p>
                </c:rich>
              </c:tx>
              <c:showVal val="1"/>
            </c:dLbl>
            <c:dLbl>
              <c:idx val="2"/>
              <c:layout>
                <c:manualLayout>
                  <c:x val="0.13161686365526959"/>
                  <c:y val="7.4229296619514773E-2"/>
                </c:manualLayout>
              </c:layout>
              <c:tx>
                <c:rich>
                  <a:bodyPr/>
                  <a:lstStyle/>
                  <a:p>
                    <a:pPr>
                      <a:defRPr sz="1400" b="1"/>
                    </a:pPr>
                    <a:r>
                      <a:rPr lang="en-US" b="1"/>
                      <a:t>29,3%</a:t>
                    </a:r>
                    <a:r>
                      <a:rPr lang="el-GR" b="1"/>
                      <a:t> </a:t>
                    </a:r>
                  </a:p>
                  <a:p>
                    <a:pPr>
                      <a:defRPr sz="1400" b="1"/>
                    </a:pPr>
                    <a:r>
                      <a:rPr lang="el-GR" b="1"/>
                      <a:t>(204 ΚΤΙΡΙΑ)</a:t>
                    </a:r>
                    <a:endParaRPr lang="en-US" b="1"/>
                  </a:p>
                </c:rich>
              </c:tx>
              <c:spPr>
                <a:solidFill>
                  <a:srgbClr val="00B050"/>
                </a:solidFill>
              </c:spPr>
              <c:showVal val="1"/>
            </c:dLbl>
            <c:txPr>
              <a:bodyPr/>
              <a:lstStyle/>
              <a:p>
                <a:pPr>
                  <a:defRPr sz="1400" b="1"/>
                </a:pPr>
                <a:endParaRPr lang="el-GR"/>
              </a:p>
            </c:txPr>
            <c:showVal val="1"/>
            <c:showLeaderLines val="1"/>
          </c:dLbls>
          <c:cat>
            <c:strRef>
              <c:f>Κτίρια_Λευκάδας!$F$20:$H$20</c:f>
              <c:strCache>
                <c:ptCount val="3"/>
                <c:pt idx="0">
                  <c:v>ΚΙΤΡΙΝΑ</c:v>
                </c:pt>
                <c:pt idx="1">
                  <c:v>ΚΟΚΚΙΝΑ</c:v>
                </c:pt>
                <c:pt idx="2">
                  <c:v>ΠΡΑΣΙΝΑ</c:v>
                </c:pt>
              </c:strCache>
            </c:strRef>
          </c:cat>
          <c:val>
            <c:numRef>
              <c:f>Κτίρια_Λευκάδας!$F$22:$H$22</c:f>
              <c:numCache>
                <c:formatCode>0.0%</c:formatCode>
                <c:ptCount val="3"/>
                <c:pt idx="0">
                  <c:v>0.63074712643678577</c:v>
                </c:pt>
                <c:pt idx="1">
                  <c:v>7.6149425287356326E-2</c:v>
                </c:pt>
                <c:pt idx="2">
                  <c:v>0.29310344827586232</c:v>
                </c:pt>
              </c:numCache>
            </c:numRef>
          </c:val>
        </c:ser>
      </c:pie3DChart>
    </c:plotArea>
    <c:legend>
      <c:legendPos val="r"/>
      <c:layout>
        <c:manualLayout>
          <c:xMode val="edge"/>
          <c:yMode val="edge"/>
          <c:x val="0.78625375731688063"/>
          <c:y val="0.33564855771269636"/>
          <c:w val="0.18977348233162292"/>
          <c:h val="0.41604373204700157"/>
        </c:manualLayout>
      </c:layout>
      <c:txPr>
        <a:bodyPr/>
        <a:lstStyle/>
        <a:p>
          <a:pPr rtl="0">
            <a:defRPr sz="1400" b="1"/>
          </a:pPr>
          <a:endParaRPr lang="el-GR"/>
        </a:p>
      </c:txPr>
    </c:legend>
    <c:plotVisOnly val="1"/>
    <c:dispBlanksAs val="zero"/>
  </c:chart>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F2A60-11D3-47E6-92CD-C9DB74C6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872</Words>
  <Characters>4709</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Q</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WIN_XP_PC</dc:creator>
  <cp:lastModifiedBy>admin</cp:lastModifiedBy>
  <cp:revision>2</cp:revision>
  <cp:lastPrinted>2016-04-27T11:31:00Z</cp:lastPrinted>
  <dcterms:created xsi:type="dcterms:W3CDTF">2016-08-01T12:12:00Z</dcterms:created>
  <dcterms:modified xsi:type="dcterms:W3CDTF">2016-08-01T12:12:00Z</dcterms:modified>
</cp:coreProperties>
</file>